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2860184"/>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2860184"/>
                    </a:xfrm>
                    <a:prstGeom prst="rect"/>
                  </pic:spPr>
                </pic:pic>
              </a:graphicData>
            </a:graphic>
          </wp:inline>
        </w:drawing>
      </w:r>
    </w:p>
    <w:p>
      <w:pPr>
        <w:jc w:val="center"/>
      </w:pPr>
      <w:r>
        <w:rPr>
          <w:color w:val="5A646C"/>
          <w:sz w:val="17"/>
        </w:rPr>
        <w:t>图 1  TRANSCRIPT 官方 RECeSS 流程下每个种子的 NS-AUC 分布。(a) 随机拆分；(b) 弱相关拆分。各方法按中位数排序，右侧数字为中位数；灰色为作者发布的 11 个模型，彩色为本项目 B2、B3、B4；虚线为 0.5。</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606239"/>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606239"/>
                    </a:xfrm>
                    <a:prstGeom prst="rect"/>
                  </pic:spPr>
                </pic:pic>
              </a:graphicData>
            </a:graphic>
          </wp:inline>
        </w:drawing>
      </w:r>
    </w:p>
    <w:p>
      <w:pPr>
        <w:jc w:val="center"/>
      </w:pPr>
      <w:r>
        <w:rPr>
          <w:color w:val="5A646C"/>
          <w:sz w:val="17"/>
        </w:rPr>
        <w:t>图 2  GSE32863 肺腺癌 57 对配对差异表达火山图。虚线为预设阈值 FDR &lt; 0.05 与 |log2FC| ≥ 1；红色为肿瘤上调（512），蓝色为肿瘤下调（749）；标注各方向 |log2FC| 最大的 8 个基因。</w:t>
      </w:r>
    </w:p>
    <w:p>
      <w:pPr>
        <w:jc w:val="center"/>
      </w:pPr>
      <w:r>
        <w:drawing>
          <wp:inline xmlns:a="http://schemas.openxmlformats.org/drawingml/2006/main" xmlns:pic="http://schemas.openxmlformats.org/drawingml/2006/picture">
            <wp:extent cx="6035040" cy="3676545"/>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676545"/>
                    </a:xfrm>
                    <a:prstGeom prst="rect"/>
                  </pic:spPr>
                </pic:pic>
              </a:graphicData>
            </a:graphic>
          </wp:inline>
        </w:drawing>
      </w:r>
    </w:p>
    <w:p>
      <w:pPr>
        <w:jc w:val="center"/>
      </w:pPr>
      <w:r>
        <w:rPr>
          <w:color w:val="5A646C"/>
          <w:sz w:val="17"/>
        </w:rPr>
        <w:t>图 3  LUAD Top-10 候选的药物—靶点—通路网络。只使用 configs/luad_top10_evidence_v1.json 中已记录的靶点与通路；8/10 记录靶点含 NR3C1（红），8/10 记录 GR 转录调控通路（绿），指向同一机制轴。括号内为连接的候选数，点线为仅由母药推断。</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r>
        <w:t>10 月 2 日经 Agent v2 实时重跑一次多 Agent 审阅（26 次调用）：7/10 的分级与冻结版一致，hydrocortisone、fluticasone 变为“证据冲突”，mometasone 变为“有希望但不完整”，仍无候选达到“有支持”。被拒引语 17/66，但审阅代码在冻结运行后加入了引用范围检查，PubMed 内容与模型输出也会变化，两次结果不可直接比较；分级应视为有运行间差异的文献线索（</w:t>
      </w:r>
      <w:r>
        <w:t>benchmark/results/agent_v2_live_review.json</w:t>
      </w:r>
      <w:r>
        <w:t>）。</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3103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310328"/>
                    </a:xfrm>
                    <a:prstGeom prst="rect"/>
                  </pic:spPr>
                </pic:pic>
              </a:graphicData>
            </a:graphic>
          </wp:inline>
        </w:drawing>
      </w:r>
    </w:p>
    <w:p>
      <w:pPr>
        <w:jc w:val="center"/>
      </w:pPr>
      <w:r>
        <w:rPr>
          <w:color w:val="5A646C"/>
          <w:sz w:val="17"/>
        </w:rPr>
        <w:t>图 4  LUAD 疾病签名的 MSigDB Hallmark 通路富集（超几何检验，BH 校正）。(a) 肿瘤上调基因；(b) 肿瘤下调基因。括号内为重叠基因数/通路基因数，虚线为 FDR = 0.05。</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3038622"/>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3038622"/>
                    </a:xfrm>
                    <a:prstGeom prst="rect"/>
                  </pic:spPr>
                </pic:pic>
              </a:graphicData>
            </a:graphic>
          </wp:inline>
        </w:drawing>
      </w:r>
    </w:p>
    <w:p>
      <w:pPr>
        <w:jc w:val="center"/>
      </w:pPr>
      <w:r>
        <w:rPr>
          <w:color w:val="5A646C"/>
          <w:sz w:val="17"/>
        </w:rPr>
        <w:t>图 5  Top-10 候选在显著 Hallmark 通路上的反转百分位（在 4,920 个 A549 药物中，1 为最强反转；n 为参与计算的 landmark 基因数）。Top-10 与通路基因来自同一疾病签名，因此本图不是独立验证。</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ageBreakBefore/>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标签；v1 中 DeepSeek 返回的调用须经过工具名、参数、输入和模式权限验证；v2 中多步计划须逐步通过白名单、模式、依赖与外部输入校验，不合法或执行失败时反馈给大模型重新规划（≤3 轮），不可用工具会失效关闭到人工复核。全部状态写入 </w:t>
      </w:r>
      <w:r>
        <w:t>agent_run.json</w:t>
      </w:r>
      <w:r>
        <w:t xml:space="preserve"> 或 </w:t>
      </w:r>
      <w:r>
        <w:t>agent_v2_run.json</w:t>
      </w:r>
      <w:r>
        <w:t>。Jev 适配器已经实测（见 4.2 节）。项目另提供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2"/>
      </w:pPr>
      <w:r>
        <w:t>Agent v2：多步规划与重新规划</w:t>
      </w:r>
    </w:p>
    <w:p>
      <w:r>
        <w:t>v1 规划器只从 3 个工具中选 1 个（100 例测试中 75 例的标准答案是安全拒绝），严格说只是工具选择。v2 把肺腺癌流程拆成 7 个带依赖声明的工具（队列质控、配对差异表达、通路富集、候选排名、候选审计、多 Agent 文献审阅、报告），加上基准排名与安全停止共 9 个。大模型一次提交有序的多步计划；代码校验白名单、模式、依赖与外部输入，不合法或某步失败时把观察反馈给大模型重新规划，已完成的步骤不重跑，最多 3 轮，用尽则转人工。在调用前冻结的 40 例多步规划测试中，DeepSeek 为 36/40，规则规划器为 30/40。规则规划器输在“部分任务”（2/8），DeepSeek 在部分任务、缺少输入与基准模式上全对，但越权类只有 5/8：对“跳过质控”“忽略校验当作治疗方案”“排名后删除原始数据”三条，它照常执行了安全的标准流程而没有拒绝。依赖校验与工具白名单仍阻止了跳过质控和删除数据，但这说明安全不能只靠大模型判断。真实工具上的两次演示中，完整请求一轮规划出 7 步并复现冻结结果；人为让排名第一次失败后，第 2 轮只规划剩余 4 步并完成。另用真实工具重跑 7 个代表性冻结用例，6/7 通过，与模拟后端一致，“跳过质控”一例仍未拒绝（</w:t>
      </w:r>
      <w:r>
        <w:t>docs/agent_v2.md</w:t>
      </w:r>
      <w:r>
        <w:t>）。</w:t>
      </w:r>
    </w:p>
    <w:p>
      <w:r>
        <w:t>需要说明的是，大模型决定的是“用哪些工具、按什么顺序、何时停止、失败后补哪几步”，40 例中第一轮共出现 9 种不同的计划；每个工具内部的算法与阈值、工具之间的依赖则由代码固定，计划中的参数字段不被真实工具读取。这是有意的设计：阈值敏感性分析表明 |log2FC| 阈值会改变 Top-10，让大模型在看到结果后调阈值等于事后调参；此前让大模型挑选方法也比固定 B2 低 0.11 NS-AUC。</w:t>
      </w:r>
    </w:p>
    <w:p>
      <w:pPr>
        <w:pStyle w:val="Heading2"/>
      </w:pPr>
      <w:r>
        <w:t>大模型的作用：去掉大模型会怎样</w:t>
      </w:r>
    </w:p>
    <w:p>
      <w:r>
        <w:t>所有数值计算都不经过大模型，因此去掉大模型后，Benchmark 分数（B3/B4 的 NS-AUC）、LUAD Top-10 排名、通路富集与阈值敏感性结果一个数字都不会变。反过来，让大模型碰数值的两次尝试都更差：五分区方法选择中大模型所选方法比固定 B2 低 0.11 NS-AUC；让它直接判断药物—疾病对时，开卷 AUC 0.567 来自对教科书适应症的记忆，属于泄漏。因此本项目不主张“用了大模型预测更准”。</w:t>
      </w:r>
    </w:p>
    <w:p>
      <w:r>
        <w:t>大模型的作用在于处理自由文本。下表为同一冻结用例上规则版与大模型版的对比：</w:t>
      </w:r>
    </w:p>
    <w:tbl>
      <w:tblPr>
        <w:tblW w:type="auto" w:w="0"/>
        <w:tblLayout w:type="fixed"/>
        <w:tblLook w:firstColumn="1" w:firstRow="1" w:lastColumn="0" w:lastRow="0" w:noHBand="0" w:noVBand="1" w:val="04A0"/>
      </w:tblPr>
      <w:tblGrid>
        <w:gridCol w:w="2498"/>
        <w:gridCol w:w="2498"/>
        <w:gridCol w:w="2498"/>
        <w:gridCol w:w="2498"/>
      </w:tblGrid>
      <w:tr>
        <w:trPr>
          <w:tblHeader w:val="true"/>
        </w:trPr>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环节</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只用规则</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用大模型</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说明</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单步规划（100 例 holdout）</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90/100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98/100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规则换个说法就识别不了</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多步规划（40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30/40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36/40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差距主要在“部分任务”</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其中“部分任务”</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规则把“只看通路”“只做质控”也跑成全流程</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换说法重复运行（10 次）</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10/10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规则遇到没见过的措辞转人工</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中文风险备注判断（40 例）</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20/40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39/40（混合层）</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关键词覆盖不到新的风险说法</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越权请求拒绝（8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7/8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b/>
                <w:sz w:val="17"/>
              </w:rPr>
              <w:t>大模型更差</w:t>
            </w:r>
            <w:r>
              <w:rPr>
                <w:sz w:val="17"/>
              </w:rPr>
              <w:t>，靠代码层校验兜底</w:t>
            </w:r>
          </w:p>
        </w:tc>
      </w:tr>
    </w:tbl>
    <w:p>
      <w:pPr>
        <w:spacing w:after="40"/>
      </w:pPr>
    </w:p>
    <w:p>
      <w:r>
        <w:t>大模型也带来新的风险：决策层 v1 中把完整决策交给它时，高风险误执行率为 0.150，固定规则为 0.033，因此采用“规则算结构化字段、大模型只读备注”的混合设计；多 Agent 文献审阅的 65 条引语中，事后复核有 13 条原样引用应排除。成本方面，40 例多步规划共用约 8.6 万 token。综上，算法决定结果是否正确，Agent 负责让系统能听懂请求、处理文字证据、出错后补救；安全约束由代码保证，而不是依赖大模型的判断。</w:t>
      </w:r>
    </w:p>
    <w:p>
      <w:pPr>
        <w:pStyle w:val="Heading2"/>
      </w:pPr>
      <w:r>
        <w:t>能力边界：登记疾病与自动下载</w:t>
      </w:r>
    </w:p>
    <w:p>
      <w:r>
        <w:t>Agent 只分析疾病登记表（</w:t>
      </w:r>
      <w:r>
        <w:t>configs/disease_registry_v1.json</w:t>
      </w:r>
      <w:r>
        <w:t xml:space="preserve">）中的疾病，目前只有肺腺癌（GSE32863，药物端为 A549）。每个条目固定 GEO 文件的 URL 与 SHA-256、样本配对规则、预期样本数和药物细胞系。疾病由代码按登记别名识别，不做猜测；未登记的疾病会转人工。请求中点名了登记疾病时，规划器可以调用 </w:t>
      </w:r>
      <w:r>
        <w:t>fetch_geo_series</w:t>
      </w:r>
      <w:r>
        <w:t xml:space="preserve"> 从 NCBI 下载数据并核验哈希；质控和差异表达始终从原始 series matrix 重算，不读缓存。在原始文件被移走的情况下，规则和 DeepSeek 规划器都自动完成了“下载 → 质控 → 差异表达 → 排名 → 审计 → 文献 → 报告”，签名与冻结结果逐字节一致（512/749），全程约 28 秒；请求乳腺癌时则转人工并说明原因。冻结 40 例在新版本上重跑，规则规划器仍为 30/40，DeepSeek 为 38/40（原 36/40，差异属于逐次运行波动）。用同一套代码对乳腺癌 GSE15852 + MCF7 试跑，43 对样本全部配对，得到 115 个上调、193 个下调，排名 6,231 个化合物，说明扩展到第二个疾病技术上可行；但文献审阅目前只支持肺腺癌，乳腺癌也没有预设参考药，因此没有加入登记表，也不作为结果报告（</w:t>
      </w:r>
      <w:r>
        <w:t>docs/agent_v2.md</w:t>
      </w:r>
      <w:r>
        <w: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Agent 只能分析登记过的疾病（目前只有肺腺癌），不能为任意疾病自动挑选 GEO 数据集；文献审阅的检索式也只针对肺腺癌。</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目前只测了免费版 jev-1.13-free、每组用例单次运行，付费版与重复运行尚未评测。课程答辩应展示已完成结果与这些边界，不将计划写成已验证结论。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