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基于转录组与证据核验的药物重定位 Agent 课程设计报告</w:t>
      </w:r>
    </w:p>
    <w:p>
      <w:pPr>
        <w:ind w:left="173"/>
      </w:pPr>
      <w:r>
        <w:rPr>
          <w:i/>
          <w:color w:val="5A646C"/>
        </w:rPr>
        <w:t>状态：可提交技术报告。课程任务 PDF 已核对：要求覆盖 Problem、Data、Model、Benchmark、Biological interpretation 五环节，提交 GitHub 代码并进行约 10 分钟汇报；PDF 未规定报告篇幅、封面或单独视频。本报告不构成临床建议。</w:t>
      </w:r>
    </w:p>
    <w:p>
      <w:pPr>
        <w:pStyle w:val="Heading1"/>
      </w:pPr>
      <w:r>
        <w:t>摘要</w:t>
      </w:r>
    </w:p>
    <w:p>
      <w:r>
        <w:t>本项目实现了可审计的药物重定位研究流程，连接公开转录组数据、确定性排序、证据账本和受控 Agent。外部评估采用 RECeSS/TRANSCRIPT v2.0.0；肺腺癌（LUAD）案例使用 GSE32863 配对样本与 GSE92742 衍生的 EH3226 A549 化合物扰动表达。在相同的官方 100 次拆分、五折选模与 NS-AUC 口径下，固定融合方法 B2 在随机拆分得 0.5222，弱相关拆分得 0.5019，分别排 12 个方法中的第 9 和第 8。表达反转没有超过强基线。五个疾病分区上的事后标明正例/未知修订实验中，DeepSeek 方法选择平均比固定 B2 低 0.11031 NS-AUC，不能声称大模型会自动选出更好的算法。LUAD 筛选得到 4,920 个药名的排名，但前十名存在化合物身份与疗效证据缺口，只能作为后续实验假设。系统记录输入哈希、工具调用、验证结果和执行轨迹，不把 Agent 的工具选择准确率当作药物预测准确率。</w:t>
      </w:r>
    </w:p>
    <w:p>
      <w:r>
        <w:rPr>
          <w:b/>
        </w:rPr>
        <w:t>关键词：</w:t>
      </w:r>
      <w:r>
        <w:t xml:space="preserve"> 药物重定位；肺腺癌；转录组；LINCS L1000；证据溯源；Agent</w:t>
      </w:r>
    </w:p>
    <w:p>
      <w:pPr>
        <w:pStyle w:val="Heading1"/>
      </w:pPr>
      <w:r>
        <w:t>研究目标与边界</w:t>
      </w:r>
    </w:p>
    <w:p>
      <w:r>
        <w:t>药物重定位希望为已有化合物寻找新的研究用途，但疾病表达与药物扰动表达的“反向”关系并不等同于患者获益。本项目的问题是：在公开基准上，表达反转是否带来可测的排序价值；以及能否把肺腺癌候选药物从数据处理追踪到可复核的证据记录。评价重点是数据边界、可复现性、与强基线比较及不确定性表述，而非制造新的临床疗法结论。</w:t>
      </w:r>
    </w:p>
    <w:p>
      <w:r>
        <w:t>原计划包含 Jev 决策模型、通用 LLM、外部基准、内部 Eval、LUAD 端到端案例和课程展示。本阶段已实现确定性分析主流程、自然语言任务路由、受控工具调用、完整 Agent Trace、真实 DeepSeek 函数调用及可选 Jev 接口。冻结的 61 项 v2 路由集上，修改前规则为 35/61，原始 DeepSeek 为 55/61；根据失败类型加固后的结果只作为回归验证。另建的 100 项 v3 独立 holdout 在任何调用前提交，规则规划器为 90/100，一次 DeepSeek Flash 调用为 98/100，且未根据失败修改系统。TypeSafe Jev 仍无凭据和真实结果。</w:t>
      </w:r>
    </w:p>
    <w:p>
      <w:pPr>
        <w:pStyle w:val="Heading1"/>
        <w:pageBreakBefore/>
      </w:pPr>
      <w:r>
        <w:t>数据来源与质量控制</w:t>
      </w:r>
    </w:p>
    <w:tbl>
      <w:tblPr>
        <w:tblW w:type="auto" w:w="0"/>
        <w:tblLayout w:type="fixed"/>
        <w:tblLook w:firstColumn="1" w:firstRow="1" w:lastColumn="0" w:lastRow="0" w:noHBand="0" w:noVBand="1" w:val="04A0"/>
      </w:tblPr>
      <w:tblGrid>
        <w:gridCol w:w="3331"/>
        <w:gridCol w:w="3331"/>
        <w:gridCol w:w="3331"/>
      </w:tblGrid>
      <w:tr>
        <w:trPr>
          <w:tblHeader w:val="true"/>
        </w:trPr>
        <w:tc>
          <w:tcPr>
            <w:tcW w:type="dxa" w:w="3528"/>
            <w:vAlign w:val="center"/>
            <w:shd w:fill="18384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pPr>
            <w:r>
              <w:rPr>
                <w:b/>
                <w:color w:val="FFFFFF"/>
                <w:sz w:val="17"/>
              </w:rPr>
            </w:r>
            <w:r>
              <w:rPr>
                <w:b/>
                <w:color w:val="FFFFFF"/>
                <w:sz w:val="17"/>
              </w:rPr>
              <w:t>来源</w:t>
            </w:r>
          </w:p>
        </w:tc>
        <w:tc>
          <w:tcPr>
            <w:tcW w:type="dxa" w:w="3168"/>
            <w:vAlign w:val="center"/>
            <w:shd w:fill="18384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b/>
                <w:color w:val="FFFFFF"/>
                <w:sz w:val="17"/>
              </w:rPr>
            </w:r>
            <w:r>
              <w:rPr>
                <w:b/>
                <w:color w:val="FFFFFF"/>
                <w:sz w:val="17"/>
              </w:rPr>
              <w:t>用途</w:t>
            </w:r>
          </w:p>
        </w:tc>
        <w:tc>
          <w:tcPr>
            <w:tcW w:type="dxa" w:w="3168"/>
            <w:vAlign w:val="center"/>
            <w:shd w:fill="18384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b/>
                <w:color w:val="FFFFFF"/>
                <w:sz w:val="17"/>
              </w:rPr>
            </w:r>
            <w:r>
              <w:rPr>
                <w:b/>
                <w:color w:val="FFFFFF"/>
                <w:sz w:val="17"/>
              </w:rPr>
              <w:t>本次纳入情况</w:t>
            </w:r>
          </w:p>
        </w:tc>
      </w:tr>
      <w:tr>
        <w:tc>
          <w:tcPr>
            <w:tcW w:type="dxa" w:w="35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pPr>
            <w:r>
              <w:rPr>
                <w:sz w:val="17"/>
              </w:rPr>
            </w:r>
            <w:hyperlink r:id="rId11">
              <w:r>
                <w:rPr>
                  <w:color w:val="174F78"/>
                </w:rPr>
                <w:t>TRANSCRIPT v2.0.0</w:t>
              </w:r>
            </w:hyperlink>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7"/>
              </w:rPr>
            </w:r>
            <w:r>
              <w:rPr>
                <w:sz w:val="17"/>
              </w:rPr>
              <w:t>外部排序基准</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7"/>
              </w:rPr>
            </w:r>
            <w:r>
              <w:rPr>
                <w:sz w:val="17"/>
              </w:rPr>
              <w:t>613 个药物、151 个疾病；401 个正关联、11 个明确负关联，其余为未知</w:t>
            </w:r>
          </w:p>
        </w:tc>
      </w:tr>
      <w:tr>
        <w:tc>
          <w:tcPr>
            <w:tcW w:type="dxa" w:w="3528"/>
            <w:vAlign w:val="center"/>
            <w:shd w:fill="F2F6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pPr>
            <w:r>
              <w:rPr>
                <w:sz w:val="17"/>
              </w:rPr>
            </w:r>
            <w:hyperlink r:id="rId12">
              <w:r>
                <w:rPr>
                  <w:color w:val="174F78"/>
                </w:rPr>
                <w:t>GSE32863/GPL6884</w:t>
              </w:r>
            </w:hyperlink>
          </w:p>
        </w:tc>
        <w:tc>
          <w:tcPr>
            <w:tcW w:type="dxa" w:w="3168"/>
            <w:vAlign w:val="center"/>
            <w:shd w:fill="F2F6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7"/>
              </w:rPr>
            </w:r>
            <w:r>
              <w:rPr>
                <w:sz w:val="17"/>
              </w:rPr>
              <w:t>LUAD 疾病签名</w:t>
            </w:r>
          </w:p>
        </w:tc>
        <w:tc>
          <w:tcPr>
            <w:tcW w:type="dxa" w:w="3168"/>
            <w:vAlign w:val="center"/>
            <w:shd w:fill="F2F6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7"/>
              </w:rPr>
            </w:r>
            <w:r>
              <w:rPr>
                <w:sz w:val="17"/>
              </w:rPr>
              <w:t>116 份样本中可核对 57 对；两个孤立样本排除；保留 19,404 个基因</w:t>
            </w:r>
          </w:p>
        </w:tc>
      </w:tr>
      <w:tr>
        <w:tc>
          <w:tcPr>
            <w:tcW w:type="dxa" w:w="35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pPr>
            <w:r>
              <w:rPr>
                <w:sz w:val="17"/>
              </w:rPr>
            </w:r>
            <w:hyperlink r:id="rId13">
              <w:r>
                <w:rPr>
                  <w:color w:val="174F78"/>
                </w:rPr>
                <w:t>GSE92742</w:t>
              </w:r>
            </w:hyperlink>
            <w:r>
              <w:rPr>
                <w:sz w:val="17"/>
              </w:rPr>
              <w:t xml:space="preserve"> 元数据</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7"/>
              </w:rPr>
            </w:r>
            <w:r>
              <w:rPr>
                <w:sz w:val="17"/>
              </w:rPr>
              <w:t>A549 条件与药物 ID</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7"/>
              </w:rPr>
            </w:r>
            <w:r>
              <w:rPr>
                <w:sz w:val="17"/>
              </w:rPr>
              <w:t>固定化合物、24 小时、10 µM 条件；5,814 条元数据签名；Top-10 精确签名 ID 已恢复</w:t>
            </w:r>
          </w:p>
        </w:tc>
      </w:tr>
      <w:tr>
        <w:tc>
          <w:tcPr>
            <w:tcW w:type="dxa" w:w="3528"/>
            <w:vAlign w:val="center"/>
            <w:shd w:fill="F2F6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pPr>
            <w:r>
              <w:rPr>
                <w:sz w:val="17"/>
              </w:rPr>
            </w:r>
            <w:hyperlink r:id="rId14">
              <w:r>
                <w:rPr>
                  <w:color w:val="174F78"/>
                </w:rPr>
                <w:t>ExperimentHub EH3226</w:t>
              </w:r>
            </w:hyperlink>
          </w:p>
        </w:tc>
        <w:tc>
          <w:tcPr>
            <w:tcW w:type="dxa" w:w="3168"/>
            <w:vAlign w:val="center"/>
            <w:shd w:fill="F2F6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7"/>
              </w:rPr>
            </w:r>
            <w:r>
              <w:rPr>
                <w:sz w:val="17"/>
              </w:rPr>
              <w:t>LUAD 药物表达</w:t>
            </w:r>
          </w:p>
        </w:tc>
        <w:tc>
          <w:tcPr>
            <w:tcW w:type="dxa" w:w="3168"/>
            <w:vAlign w:val="center"/>
            <w:shd w:fill="F2F6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7"/>
              </w:rPr>
            </w:r>
            <w:r>
              <w:rPr>
                <w:sz w:val="17"/>
              </w:rPr>
              <w:t>上游按药名/细胞保留第一个技术重复；得到 4,920 个 A549 药名</w:t>
            </w:r>
          </w:p>
        </w:tc>
      </w:tr>
      <w:tr>
        <w:tc>
          <w:tcPr>
            <w:tcW w:type="dxa" w:w="35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pPr>
            <w:r>
              <w:rPr>
                <w:sz w:val="17"/>
              </w:rPr>
            </w:r>
            <w:hyperlink r:id="rId15">
              <w:r>
                <w:rPr>
                  <w:color w:val="174F78"/>
                </w:rPr>
                <w:t>Broad Drug Repurposing Hub</w:t>
              </w:r>
            </w:hyperlink>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7"/>
              </w:rPr>
            </w:r>
            <w:r>
              <w:rPr>
                <w:sz w:val="17"/>
              </w:rPr>
              <w:t>药物注释和身份核对</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7"/>
              </w:rPr>
            </w:r>
            <w:r>
              <w:rPr>
                <w:sz w:val="17"/>
              </w:rPr>
              <w:t>使用 2025-08-18 的药物与样品注释快照</w:t>
            </w:r>
          </w:p>
        </w:tc>
      </w:tr>
    </w:tbl>
    <w:p>
      <w:pPr>
        <w:spacing w:after="40"/>
      </w:pPr>
    </w:p>
    <w:p>
      <w:r>
        <w:t>GSE32863 的 GEO 标题可形成 57 个相同患者编号的肿瘤/正常配对。</w:t>
      </w:r>
      <w:r>
        <w:t>GSM813507</w:t>
      </w:r>
      <w:r>
        <w:t xml:space="preserve"> 与 </w:t>
      </w:r>
      <w:r>
        <w:t>GSM813518</w:t>
      </w:r>
      <w:r>
        <w:t xml:space="preserve"> 分属不同编号，不能强行配成第 58 对。探针至基因映射只接受单一明确基因符号，再按全样本 IQR 选一个探针，避免使用病理标签选探针。输入与产物校验值记录在 </w:t>
      </w:r>
      <w:r>
        <w:t>data/manifests/</w:t>
      </w:r>
      <w:r>
        <w:t>。</w:t>
      </w:r>
    </w:p>
    <w:p>
      <w:pPr>
        <w:pStyle w:val="Heading1"/>
      </w:pPr>
      <w:r>
        <w:t>方法</w:t>
      </w:r>
    </w:p>
    <w:p>
      <w:pPr>
        <w:pStyle w:val="Heading2"/>
      </w:pPr>
      <w:r>
        <w:t>疾病差异表达</w:t>
      </w:r>
    </w:p>
    <w:p>
      <w:r>
        <w:t xml:space="preserve">对已归一化且取 log2 的表达矩阵进行同一患者的肿瘤减正常分析。初始实现为配对 t 检验、Benjamini–Hochberg 校正，预设阈值为 FDR &lt; 0.05 且 |log2FC| ≥ 1。随后使用 R 4.6.1、Bioconductor limma 3.68.5 以患者固定效应设计矩阵运行 </w:t>
      </w:r>
      <w:r>
        <w:t>lmFit</w:t>
      </w:r>
      <w:r>
        <w:t xml:space="preserve"> 和 </w:t>
      </w:r>
      <w:r>
        <w:t>eBayes</w:t>
      </w:r>
      <w:r>
        <w:t xml:space="preserve"> 敏感性分析。两者得到相同的阈值基因集：上调 512 个、下调 749 个；log2FC 在数值精度内一致。limma 对方差进行经验贝叶斯调整，因此 p 值和 FDR 不要求逐项相同。</w:t>
      </w:r>
    </w:p>
    <w:p>
      <w:pPr>
        <w:pStyle w:val="Heading2"/>
      </w:pPr>
      <w:r>
        <w:t>转录组候选排序</w:t>
      </w:r>
    </w:p>
    <w:p>
      <w:r>
        <w:t xml:space="preserve">药物与疾病向量按明确基因 ID 对齐。方法 B1 为负 Spearman 相关系数；LUAD 案例另计算疾病上调基因在药物下调端、疾病下调基因在药物上调端的秩连接分数。各分数通过固定 </w:t>
      </w:r>
      <w:r>
        <w:t>k=60</w:t>
      </w:r>
      <w:r>
        <w:t xml:space="preserve"> 的 reciprocal-rank fusion（RRF）合并，并列分数使用相同平均名次，避免输入行顺序成为隐含先验。LUAD 仅使用 961 个重合的 LINCS landmark 基因，其中预设显著上调 57 个、下调 50 个。候选排名不读取已知治疗药物标签或 Broad 注释。</w:t>
      </w:r>
    </w:p>
    <w:p>
      <w:pPr>
        <w:pStyle w:val="Heading2"/>
      </w:pPr>
      <w:r>
        <w:t>外部基准</w:t>
      </w:r>
    </w:p>
    <w:p>
      <w:r>
        <w:t xml:space="preserve">主比较将 B2 及其 B0p、B1k、B1 三个分支放入固定版本的 RECeSS 官方 Runner，与作者发布的 11 个模型共用 100 个种子、20% 外层测试、五折选模和 NS-AUC 统计。弱相关拆分在固定特征下重复同一个外层测试集，因此 100 次的波动不能解释为 100 个独立药物组。另有早期项目内实验使用全局 AUC/NDCG：B1k/B2 为三个外层种子与三折内层调参；ALSWR、PMF、LogisticMF 为五个外层种子与三折内层调参。这两组指标和调参协议不同，不直接混表比较。未知的 </w:t>
      </w:r>
      <w:r>
        <w:t>0</w:t>
      </w:r>
      <w:r>
        <w:t xml:space="preserve"> 在相应指标中按既定规则处理，不代表临床失败。</w:t>
      </w:r>
    </w:p>
    <w:p>
      <w:pPr>
        <w:pStyle w:val="Heading1"/>
      </w:pPr>
      <w:r>
        <w:t>结果</w:t>
      </w:r>
    </w:p>
    <w:p>
      <w:r>
        <w:t>官方协议下，B2 的随机/弱相关 NS-AUC 为 0.5222 ± 0.0354 / 0.5019 ± 0.0036；最强的作者模型分别为 BNNR 0.7331 和 MBiRW 0.7384。B2 分列第 9/12 与第 8/12。分支消融的 B0p 为 0.5000 / 0.5000，B1k 为 0.1747 / 0.0562，B1 为 0.4816 / 0.5417（随机/弱相关）。B2 只在随机拆分领先这四个自有方法；弱相关拆分由 B1 领先。一次预先冻结的 DeepSeek 选择恰好选中了两种拆分各自的最佳自有方法，但只有两个决策，不能证明大模型选择策略可泛化。对 B1k 各复算一个冻结种子，官方数值精确重现；其低 NS-AUC 主要受大量同分影响，官方严格比较把同分记零，不是预测方向简单颠倒。该诊断不替代官方 100 次结果。</w:t>
      </w:r>
    </w:p>
    <w:p>
      <w:r>
        <w:t>随后，五个疾病分区的 15 次 DeepSeek 决策在任何分区结果之前冻结并通过逐响应 trace 核对。原始官方协议在第二分区因仅一条明确负例而无法分层，故未完成。另行标注的事后正例/未知修订实验完成五分区、四方法、20 外层种子和五折选模；大模型所选方法均值为 0.40653，固定 B2 为 0.51684 NS-AUC，分区配对均差 −0.11031，五个分区无一为正。三次选择共享每个分区的结果，并非 15 个独立验证集；该修订也不是原预注册实验。下一版协议只允许给模型看外层训练集的内层交叉验证证据，且必须取得未用过的独立评估数据，尚未运行。</w:t>
      </w:r>
    </w:p>
    <w:p>
      <w:r>
        <w:t xml:space="preserve">较早的项目内全局 AUC 实验使用不同拆分和选模协议，结果单列于 </w:t>
      </w:r>
      <w:r>
        <w:t>docs/benchmark_results.md</w:t>
      </w:r>
      <w:r>
        <w:t>，不能与上述 NS-AUC 直接比较。其中五外层种子的嵌套调参显示 LogisticMF 为已测项目方法中较强的基线；弱相关拆分的外层划分与不确定性仍需谨慎解释。</w:t>
      </w:r>
    </w:p>
    <w:p>
      <w:r>
        <w:t>LUAD 表达筛选前十名依次是 hydrocortisone、beclomethasone-dipropionate、clocortolone-pivalate、mometasone、flumetasone、BRD-K84203638、hydrocortisone-hemisuccinate、fluorometholone、fluticasone、diflorasone。预先冻结的 11 个参考药名只有 5 个可在该 A549 子集中测得；其中 docetaxel 排 106、crizotinib 排 241，其他三个可测参考药排得更低。其余六个参考药名未测得，不能当作排序失败。</w:t>
      </w:r>
    </w:p>
    <w:p>
      <w:r>
        <w:t xml:space="preserve">复现 EH3226 上游 </w:t>
      </w:r>
      <w:r>
        <w:t>sig_filter</w:t>
      </w:r>
      <w:r>
        <w:t xml:space="preserve"> 的源文件顺序去重规则后，前十候选均恢复出唯一 </w:t>
      </w:r>
      <w:r>
        <w:t>sig_id</w:t>
      </w:r>
      <w:r>
        <w:t xml:space="preserve"> 和 </w:t>
      </w:r>
      <w:r>
        <w:t>pert_id</w:t>
      </w:r>
      <w:r>
        <w:t>，并得到 GSE92742 的 InChIKey 与结构字段。逐签名来源因此明确，但与 Broad Hub 交叉核对时仍只有两个精确 InChIKey 匹配；其余包括立体化学差异、结构不符、同义词或没有 Hub 样品。候选级证据矩阵显示九个名称属于或很可能属于糖皮质激素类，主要指向 NR3C1/糖皮质激素受体转录。hydrocortisone 有 A549 生长抑制和独立计算候选背景，beclomethasone-dipropionate 有 A549 中 GR 依赖的 CYP3A5 诱导；类别级研究也报告化疗保护、干性与免疫治疗背景下的不利信号。其余多数候选没有药物特异 LUAD 疗效证据。十个候选均保持“证据不足”。</w:t>
      </w:r>
    </w:p>
    <w:p>
      <w:pPr>
        <w:pStyle w:val="Heading1"/>
        <w:pageBreakBefore/>
      </w:pPr>
      <w:r>
        <w:t>系统实现与审计</w:t>
      </w:r>
    </w:p>
    <w:p>
      <w:r>
        <w:t xml:space="preserve">系统包含自然语言 Planner、允许列表工具 Schema、表达数据读取与 QC、差异表达、排序、RECeSS 适配器、药物身份核对、文献分诊、证据账本和 LUAD 案例打包器。Planner 只接收模式和可用输入名称，不接收原始矩阵、文件路径或 Benchmark 标签；DeepSeek 返回的调用还须经过工具名、参数、输入和模式权限验证，不可用工具会失效关闭到人工复核。全部状态写入 </w:t>
      </w:r>
      <w:r>
        <w:t>agent_run.json</w:t>
      </w:r>
      <w:r>
        <w:t>。可选 Jev 适配器仍没有真实凭据或结果。</w:t>
      </w:r>
    </w:p>
    <w:p>
      <w:r>
        <w:t xml:space="preserve">Python 3.10 的 Benchmark 测试依赖记录在 </w:t>
      </w:r>
      <w:r>
        <w:t>requirements-benchmark.lock</w:t>
      </w:r>
      <w:r>
        <w:t>。内部单元测试和冻结的 20 项 v1、61 项 v2、100 项 v3 Planner Eval 分开报告。逐事件 JSONL trace 记录模型可见输入输出、工具选择、参数、用量和错误，并移除密钥与内部推理字段；它不能重建历史 v3 的原始模型响应。基于新 trace 重跑的规则规划器 v3 回归评测为 90/100，逐条 trace 评分亦为 90/100；这不是新的独立 holdout。五分区方法选择的 15 条模型可见响应已逐条核对。另对历史 LUAD 大模型研究分诊单例做身份、引文范围、操作门槛与“不宣称疗效”核验，保存的三项研究行动均通过；这不是新的独立 Agent 评测，更不能推断临床正确性。</w:t>
      </w:r>
      <w:r>
        <w:t>data/manifests/</w:t>
      </w:r>
      <w:r>
        <w:t xml:space="preserve"> 保存公开来源哈希；完整表达矩阵不入 Git。</w:t>
      </w:r>
    </w:p>
    <w:p>
      <w:pPr>
        <w:pStyle w:val="Heading1"/>
      </w:pPr>
      <w:r>
        <w:t>局限与后续工作</w:t>
      </w:r>
    </w:p>
    <w:p>
      <w:r>
        <w:t>本项目的表达反转指标在公开基准上没有取得领先结果，提示基于转录组的单一对抗方向不足以代表药物与疾病的真实治疗关系。LUAD 案例只有单一 A549 细胞系、固定剂量与时间；逐签名 ID 已恢复，但交叉来源的盐型、立体化学和同义词问题仍需实物核验。前十名的类固醇集中也可能反映共同转录反应。候选级文献矩阵已记录支持与反对信号，但它是有边界的人工分诊而非系统综述，且类别证据不能替代候选药特异验证。没有足够证据把任何候选推荐给患者。</w:t>
      </w:r>
    </w:p>
    <w:p>
      <w:r>
        <w:t>湿实验需要实体化合物、细胞模型和仪器，目前不具备执行条件，故剂量、LUAD 亚型、NR3C1 依赖和联合用药仅保留为预设方案。五个疾病分区仍来自 TRANSCRIPT，不是外部独立数据集；正例/未知修订实验给出了负结果。下一步需要新的独立关联数据、外层训练集内的性能证据与预先冻结的比较协议；已有分区不能再次充当确认集。Jev 若获得访问权限也需另做真实评测。课程答辩应展示已完成结果与这些边界，不将计划写成已验证结论。</w:t>
      </w:r>
    </w:p>
    <w:p>
      <w:pPr>
        <w:pStyle w:val="Heading1"/>
      </w:pPr>
      <w:r>
        <w:t>参考与复现材料</w:t>
      </w:r>
    </w:p>
    <w:p>
      <w:r>
        <w:t xml:space="preserve">项目计划与方法细节见根目录 </w:t>
      </w:r>
      <w:r>
        <w:t>药物重定位Agent项目计划.md</w:t>
      </w:r>
      <w:r>
        <w:t>、</w:t>
      </w:r>
      <w:r>
        <w:t>docs/evaluation_protocol.md</w:t>
      </w:r>
      <w:r>
        <w:t>、</w:t>
      </w:r>
      <w:r>
        <w:t>docs/benchmark_results.md</w:t>
      </w:r>
      <w:r>
        <w:t>、</w:t>
      </w:r>
      <w:r>
        <w:t>docs/method_selection_partition_v2.md</w:t>
      </w:r>
      <w:r>
        <w:t>、</w:t>
      </w:r>
      <w:r>
        <w:t>docs/b1k_metric_audit.md</w:t>
      </w:r>
      <w:r>
        <w:t>、</w:t>
      </w:r>
      <w:r>
        <w:t>docs/method_selection_v3_protocol.md</w:t>
      </w:r>
      <w:r>
        <w:t>、</w:t>
      </w:r>
      <w:r>
        <w:t>docs/luad_data_audit.md</w:t>
      </w:r>
      <w:r>
        <w:t>、</w:t>
      </w:r>
      <w:r>
        <w:t>docs/luad_screening_report.md</w:t>
      </w:r>
      <w:r>
        <w:t xml:space="preserve">；来源与版本见 </w:t>
      </w:r>
      <w:r>
        <w:t>data/manifests/</w:t>
      </w:r>
      <w:r>
        <w:t xml:space="preserve">。核心公开来源为 </w:t>
      </w:r>
      <w:hyperlink r:id="rId11">
        <w:r>
          <w:rPr>
            <w:color w:val="174F78"/>
          </w:rPr>
          <w:t>TRANSCRIPT</w:t>
        </w:r>
      </w:hyperlink>
      <w:r>
        <w:t>、</w:t>
      </w:r>
      <w:hyperlink r:id="rId12">
        <w:r>
          <w:rPr>
            <w:color w:val="174F78"/>
          </w:rPr>
          <w:t>GSE32863</w:t>
        </w:r>
      </w:hyperlink>
      <w:r>
        <w:t>、</w:t>
      </w:r>
      <w:hyperlink r:id="rId13">
        <w:r>
          <w:rPr>
            <w:color w:val="174F78"/>
          </w:rPr>
          <w:t>GSE92742</w:t>
        </w:r>
      </w:hyperlink>
      <w:r>
        <w:t>、</w:t>
      </w:r>
      <w:hyperlink r:id="rId16">
        <w:r>
          <w:rPr>
            <w:color w:val="174F78"/>
          </w:rPr>
          <w:t>Bioconductor limma</w:t>
        </w:r>
      </w:hyperlink>
      <w:r>
        <w:t>、</w:t>
      </w:r>
      <w:hyperlink r:id="rId17">
        <w:r>
          <w:rPr>
            <w:color w:val="174F78"/>
          </w:rPr>
          <w:t>NCBI E-utilities</w:t>
        </w:r>
      </w:hyperlink>
      <w:r>
        <w:t xml:space="preserve"> 和 </w:t>
      </w:r>
      <w:hyperlink r:id="rId18">
        <w:r>
          <w:rPr>
            <w:color w:val="174F78"/>
          </w:rPr>
          <w:t>TypeSafe System One API</w:t>
        </w:r>
      </w:hyperlink>
      <w:r>
        <w:t>。</w:t>
      </w:r>
    </w:p>
    <w:sectPr w:rsidR="00FC693F" w:rsidRPr="0006063C" w:rsidSect="00034616">
      <w:headerReference w:type="default" r:id="rId9"/>
      <w:footerReference w:type="default" r:id="rId10"/>
      <w:pgSz w:w="12240" w:h="15840"/>
      <w:pgMar w:top="979" w:right="1123" w:bottom="936" w:left="1123" w:header="490"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color w:val="5A646C"/>
        <w:sz w:val="16"/>
      </w:rPr>
      <w:t>药物重定位 Agent 课程设计报告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80"/>
    </w:pPr>
    <w:rPr>
      <w:rFonts w:ascii="Microsoft YaHei" w:hAnsi="Microsoft YaHei" w:eastAsia="Microsoft YaHei"/>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Microsoft YaHei" w:hAnsi="Microsoft YaHei" w:eastAsia="Microsoft Ya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Microsoft YaHei" w:hAnsi="Microsoft YaHei"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Microsoft YaHei" w:hAnsi="Microsoft YaHei" w:eastAsia="Microsoft YaHei"/>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zenodo.org/records/7982976" TargetMode="External"/><Relationship Id="rId12" Type="http://schemas.openxmlformats.org/officeDocument/2006/relationships/hyperlink" Target="https://www.ncbi.nlm.nih.gov/geo/query/acc.cgi?acc=GSE32863" TargetMode="External"/><Relationship Id="rId13" Type="http://schemas.openxmlformats.org/officeDocument/2006/relationships/hyperlink" Target="https://www.ncbi.nlm.nih.gov/geo/query/acc.cgi?acc=GSE92742" TargetMode="External"/><Relationship Id="rId14" Type="http://schemas.openxmlformats.org/officeDocument/2006/relationships/hyperlink" Target="https://bioconductor.org/packages/release/data/experiment/html/signatureSearchData.html" TargetMode="External"/><Relationship Id="rId15" Type="http://schemas.openxmlformats.org/officeDocument/2006/relationships/hyperlink" Target="https://repo-hub.broadinstitute.org/repurposing" TargetMode="External"/><Relationship Id="rId16" Type="http://schemas.openxmlformats.org/officeDocument/2006/relationships/hyperlink" Target="https://bioconductor.org/packages/release/bioc/html/limma.html" TargetMode="External"/><Relationship Id="rId17" Type="http://schemas.openxmlformats.org/officeDocument/2006/relationships/hyperlink" Target="https://www.ncbi.nlm.nih.gov/books/NBK25499/" TargetMode="External"/><Relationship Id="rId18" Type="http://schemas.openxmlformats.org/officeDocument/2006/relationships/hyperlink" Target="https://api.typesafe.ai/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