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基于转录组与证据核验的药物重定位 Agent 课程设计报告草稿</w:t>
      </w:r>
    </w:p>
    <w:p>
      <w:pPr>
        <w:ind w:left="173"/>
      </w:pPr>
      <w:r>
        <w:rPr>
          <w:i/>
          <w:color w:val="5A646C"/>
        </w:rPr>
        <w:t>状态：技术结果草稿。课程任务 PDF 已核对：要求覆盖 Problem、Data、Model、Benchmark、Biological interpretation 五环节，提交 GitHub 代码并进行约 10 分钟汇报；PDF 未规定报告篇幅、封面或单独视频。本报告不构成临床建议。</w:t>
      </w:r>
    </w:p>
    <w:p>
      <w:pPr>
        <w:pStyle w:val="Heading1"/>
      </w:pPr>
      <w:r>
        <w:t>摘要</w:t>
      </w:r>
    </w:p>
    <w:p>
      <w:r>
        <w:t>本项目实现了一个可审计的药物重定位研究流程，将公开转录组数据、确定性药物排序、证据账本和可选结构化决策接口连接起来。外部评估采用 RECeSS/TRANSCRIPT v2.0.0 数据集；肺腺癌（LUAD）案例采用 GSE32863 配对肿瘤/邻近正常组织和 GSE92742 衍生的 ExperimentHub EH3226 A549 化合物扰动表达。系统记录输入哈希、筛选规则、排名、身份核对、引用状态及执行轨迹。三次随机拆分中，纯 Spearman 反转的全局 AUC 为 0.4820 ± 0.0108，低于训练折药物流行度基线的 0.7346 ± 0.0453；三次弱相关拆分中，预先固定的融合方法 AUC 为 0.4752。结果不支持该表达反转方案优于已有方法。LUAD 案例生成 4,920 个药名的表达排名，但前十名多为类固醇相关药物，并存在化合物身份不确定及临床证据不足问题，因此只作为实验研究假设。</w:t>
      </w:r>
    </w:p>
    <w:p>
      <w:r>
        <w:rPr>
          <w:b/>
        </w:rPr>
        <w:t>关键词：</w:t>
      </w:r>
      <w:r>
        <w:t xml:space="preserve"> 药物重定位；肺腺癌；转录组；LINCS L1000；证据溯源；Agent</w:t>
      </w:r>
    </w:p>
    <w:p>
      <w:pPr>
        <w:pStyle w:val="Heading1"/>
      </w:pPr>
      <w:r>
        <w:t>研究目标与边界</w:t>
      </w:r>
    </w:p>
    <w:p>
      <w:r>
        <w:t>药物重定位希望为已有化合物寻找新的研究用途，但疾病表达与药物扰动表达的“反向”关系并不等同于患者获益。本项目的问题是：在公开基准上，表达反转是否带来可测的排序价值；以及能否把肺腺癌候选药物从数据处理追踪到可复核的证据记录。评价重点是数据边界、可复现性、与强基线比较及不确定性表述，而非制造新的临床疗法结论。</w:t>
      </w:r>
    </w:p>
    <w:p>
      <w:r>
        <w:t>原计划包含 Jev 决策模型、通用 LLM、外部基准、内部 Eval、LUAD 端到端案例和课程展示。本阶段已实现确定性分析主流程、自然语言任务路由、受控工具调用、完整 Agent Trace 及可选 Jev 接口。默认 Planner 为可复现的规则降级，另提供结构化外部 LLM 适配边界；没有通用 LLM 或 TypeSafe API 凭据，故无真实 LLM/Jev 准确率、延迟或成本结论。</w:t>
      </w:r>
    </w:p>
    <w:p>
      <w:pPr>
        <w:pStyle w:val="Heading1"/>
        <w:pageBreakBefore/>
      </w:pPr>
      <w:r>
        <w:t>数据来源与质量控制</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352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8"/>
              </w:rPr>
            </w:r>
            <w:r>
              <w:rPr>
                <w:b/>
                <w:color w:val="FFFFFF"/>
                <w:sz w:val="18"/>
              </w:rPr>
              <w:t>来源</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8"/>
              </w:rPr>
            </w:r>
            <w:r>
              <w:rPr>
                <w:b/>
                <w:color w:val="FFFFFF"/>
                <w:sz w:val="18"/>
              </w:rPr>
              <w:t>用途</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8"/>
              </w:rPr>
            </w:r>
            <w:r>
              <w:rPr>
                <w:b/>
                <w:color w:val="FFFFFF"/>
                <w:sz w:val="18"/>
              </w:rPr>
              <w:t>本次纳入情况</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1">
              <w:r>
                <w:rPr>
                  <w:color w:val="174F78"/>
                </w:rPr>
                <w:t>TRANSCRIPT v2.0.0</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外部排序基准</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613 个药物、151 个疾病；401 个正关联、11 个明确负关联，其余为未知</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2">
              <w:r>
                <w:rPr>
                  <w:color w:val="174F78"/>
                </w:rPr>
                <w:t>GSE32863/GPL6884</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LUAD 疾病签名</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116 份样本中可核对 57 对；两个孤立样本排除；保留 19,404 个基因</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3">
              <w:r>
                <w:rPr>
                  <w:color w:val="174F78"/>
                </w:rPr>
                <w:t>GSE92742</w:t>
              </w:r>
            </w:hyperlink>
            <w:r>
              <w:rPr>
                <w:sz w:val="18"/>
              </w:rPr>
              <w:t xml:space="preserve"> 元数据</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A549 条件与药物 ID</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固定化合物、24 小时、10 µM 条件；5,814 条元数据签名</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4">
              <w:r>
                <w:rPr>
                  <w:color w:val="174F78"/>
                </w:rPr>
                <w:t>ExperimentHub EH3226</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LUAD 药物表达</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上游按药名/细胞保留第一个技术重复；得到 4,920 个 A549 药名</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5">
              <w:r>
                <w:rPr>
                  <w:color w:val="174F78"/>
                </w:rPr>
                <w:t>Broad Drug Repurposing Hub</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药物注释和身份核对</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使用 2025-08-18 的药物与样品注释快照</w:t>
            </w:r>
          </w:p>
        </w:tc>
      </w:tr>
    </w:tbl>
    <w:p>
      <w:pPr>
        <w:spacing w:after="40"/>
      </w:pPr>
    </w:p>
    <w:p>
      <w:r>
        <w:t>GSE32863 的 GEO 标题可形成 57 个相同患者编号的肿瘤/正常配对。</w:t>
      </w:r>
      <w:r>
        <w:t>GSM813507</w:t>
      </w:r>
      <w:r>
        <w:t xml:space="preserve"> 与 </w:t>
      </w:r>
      <w:r>
        <w:t>GSM813518</w:t>
      </w:r>
      <w:r>
        <w:t xml:space="preserve"> 分属不同编号，不能强行配成第 58 对。探针至基因映射只接受单一明确基因符号，再按全样本 IQR 选一个探针，避免使用病理标签选探针。输入与产物校验值记录在 </w:t>
      </w:r>
      <w:r>
        <w:t>data/manifests/</w:t>
      </w:r>
      <w:r>
        <w:t>。</w:t>
      </w:r>
    </w:p>
    <w:p>
      <w:pPr>
        <w:pStyle w:val="Heading1"/>
      </w:pPr>
      <w:r>
        <w:t>方法</w:t>
      </w:r>
    </w:p>
    <w:p>
      <w:pPr>
        <w:pStyle w:val="Heading2"/>
      </w:pPr>
      <w:r>
        <w:t>疾病差异表达</w:t>
      </w:r>
    </w:p>
    <w:p>
      <w:r>
        <w:t xml:space="preserve">对已归一化且取 log2 的表达矩阵进行同一患者的肿瘤减正常分析。初始实现为配对 t 检验、Benjamini–Hochberg 校正，预设阈值为 FDR &lt; 0.05 且 |log2FC| ≥ 1。随后使用 R 4.6.1、Bioconductor limma 3.68.5 以患者固定效应设计矩阵运行 </w:t>
      </w:r>
      <w:r>
        <w:t>lmFit</w:t>
      </w:r>
      <w:r>
        <w:t xml:space="preserve"> 和 </w:t>
      </w:r>
      <w:r>
        <w:t>eBayes</w:t>
      </w:r>
      <w:r>
        <w:t xml:space="preserve"> 敏感性分析。两者得到相同的阈值基因集：上调 512 个、下调 749 个；log2FC 在数值精度内一致。limma 对方差进行经验贝叶斯调整，因此 p 值和 FDR 不要求逐项相同。</w:t>
      </w:r>
    </w:p>
    <w:p>
      <w:pPr>
        <w:pStyle w:val="Heading2"/>
      </w:pPr>
      <w:r>
        <w:t>转录组候选排序</w:t>
      </w:r>
    </w:p>
    <w:p>
      <w:r>
        <w:t xml:space="preserve">药物与疾病向量按明确基因 ID 对齐。方法 B1 为负 Spearman 相关系数；LUAD 案例另计算疾病上调基因在药物下调端、疾病下调基因在药物上调端的秩连接分数。各分数通过固定 </w:t>
      </w:r>
      <w:r>
        <w:t>k=60</w:t>
      </w:r>
      <w:r>
        <w:t xml:space="preserve"> 的 reciprocal-rank fusion（RRF）合并，并列分数使用相同平均名次，避免输入行顺序成为隐含先验。LUAD 仅使用 961 个重合的 LINCS landmark 基因，其中预设显著上调 57 个、下调 50 个。候选排名不读取已知治疗药物标签或 Broad 注释。</w:t>
      </w:r>
    </w:p>
    <w:p>
      <w:pPr>
        <w:pStyle w:val="Heading2"/>
      </w:pPr>
      <w:r>
        <w:t>外部基准</w:t>
      </w:r>
    </w:p>
    <w:p>
      <w:r>
        <w:t xml:space="preserve">在 </w:t>
      </w:r>
      <w:r>
        <w:t>stanscofi</w:t>
      </w:r>
      <w:r>
        <w:t xml:space="preserve"> 2.0.1 的随机简单拆分与弱相关拆分上，固定三个种子 1234、1235、1236 和 20% 测试比例，调用其全局 AUC/NDCG 评分函数。项目方法包括随机 B0、训练折药物流行度 B0p、表达反转 B1、表达近邻传播 B1k、固定融合 B2。另直接运行 </w:t>
      </w:r>
      <w:r>
        <w:t>benchscofi</w:t>
      </w:r>
      <w:r>
        <w:t xml:space="preserve"> 2.0.1 默认参数下的 ALSWR、PMF、LogisticMF。预测阶段向这些模型提供不含测试标签的特征对象；测试标签只进入评分器。未知的 </w:t>
      </w:r>
      <w:r>
        <w:t>0</w:t>
      </w:r>
      <w:r>
        <w:t xml:space="preserve"> 按官方全局 AUC 惯例归入非正类，但不解释为临床失败。此评估并未完成发表方案中的嵌套参数搜索，因此不能声称 SOTA。</w:t>
      </w:r>
    </w:p>
    <w:p>
      <w:pPr>
        <w:pStyle w:val="Heading1"/>
      </w:pPr>
      <w:r>
        <w:t>结果</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352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8"/>
              </w:rPr>
            </w:r>
            <w:r>
              <w:rPr>
                <w:b/>
                <w:color w:val="FFFFFF"/>
                <w:sz w:val="18"/>
              </w:rPr>
              <w:t>方法</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8"/>
              </w:rPr>
            </w:r>
            <w:r>
              <w:rPr>
                <w:b/>
                <w:color w:val="FFFFFF"/>
                <w:sz w:val="18"/>
              </w:rPr>
              <w:t>随机拆分 AUC（均值 ± SD）</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8"/>
              </w:rPr>
            </w:r>
            <w:r>
              <w:rPr>
                <w:b/>
                <w:color w:val="FFFFFF"/>
                <w:sz w:val="18"/>
              </w:rPr>
              <w:t>弱相关拆分 AUC（均值 ± SD）</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B0 随机</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0.5363 ± 0.0061</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0.5049 ± 0.0419</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B0p 训练折流行度</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0.7346 ± 0.0453</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0.5000 ± 0.0000</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B1 负 Spearman</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0.4820 ± 0.0108</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0.5238 ± 0.0000</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B1k 表达近邻</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0.5660 ± 0.0102</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0.5108 ± 0.0000</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B2 固定 RRF</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0.7270 ± 0.0417</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0.4752 ± 0.0000</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ALSWR 默认</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0.6253 ± 0.0110</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0.6481 ± 0.0000</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PMF 默认</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0.6075 ± 0.0242</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0.5656 ± 0.0031</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LogisticMF 默认</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0.8005 ± 0.0308</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0.6696 ± 0.0495</w:t>
            </w:r>
          </w:p>
        </w:tc>
      </w:tr>
    </w:tbl>
    <w:p>
      <w:pPr>
        <w:spacing w:after="40"/>
      </w:pPr>
    </w:p>
    <w:p>
      <w:r>
        <w:t>随机拆分中 B1 近于或低于机会水平，B2 没有超过 B0p；弱相关拆分中 B2 的 AUC 低于 0.5，LogisticMF 表现更好。弱相关拆分的确定性方法在三个种子中得分相同，提示折划分可能重复，不能把零标准差解释为结果稳定。</w:t>
      </w:r>
    </w:p>
    <w:p>
      <w:r>
        <w:t>LUAD 表达筛选前十名依次是 hydrocortisone、beclomethasone-dipropionate、clocortolone-pivalate、mometasone、flumetasone、BRD-K84203638、hydrocortisone-hemisuccinate、fluorometholone、fluticasone、diflorasone。预先冻结的 11 个参考药名只有 5 个可在该 A549 子集中测得；其中 docetaxel 排 106、crizotinib 排 241，其他三个可测参考药排得更低。其余六个参考药名未测得，不能当作排序失败。</w:t>
      </w:r>
    </w:p>
    <w:p>
      <w:r>
        <w:t xml:space="preserve">Broad 样品记录与前十候选的 GEO 推断 ID 只有两个精确 InChIKey 匹配；其余包括立体化学差异、同名多 ID、身份不符或没有 Hub 样品。EH3226 本身没有逐列表达签名的扰动 ID，因此即使名称匹配也不能证明对应的具体化合物。精确药名加 LUAD/NSCLC 的 PubMed 检索只用于线索收集。摘要复核的 </w:t>
      </w:r>
      <w:hyperlink r:id="rId16">
        <w:r>
          <w:rPr>
            <w:color w:val="174F78"/>
          </w:rPr>
          <w:t>PMID 35676421</w:t>
        </w:r>
      </w:hyperlink>
      <w:r>
        <w:t xml:space="preserve"> 是 NSCLC 计算候选研究；</w:t>
      </w:r>
      <w:hyperlink r:id="rId17">
        <w:r>
          <w:rPr>
            <w:color w:val="174F78"/>
          </w:rPr>
          <w:t>PMID 12538830</w:t>
        </w:r>
      </w:hyperlink>
      <w:r>
        <w:t xml:space="preserve"> 讨论 A549 中糖皮质激素受体介导的 CYP3A5 诱导。两者都不验证 LUAD 疗效。十个候选的账本均保持“证据不足”。</w:t>
      </w:r>
    </w:p>
    <w:p>
      <w:pPr>
        <w:pStyle w:val="Heading1"/>
      </w:pPr>
      <w:r>
        <w:t>系统实现与审计</w:t>
      </w:r>
    </w:p>
    <w:p>
      <w:r>
        <w:t xml:space="preserve">系统包含自然语言 Planner、允许列表工具 Schema、表达数据读取与 QC、差异表达、排序、RECeSS 适配器、药物身份核对、PubMed 线索检索、证据账本和 LUAD 案例打包器。Planner 只接收模式和可用输入名称，不接收原始矩阵、文件路径或 Benchmark 标签；外部 LLM 返回的调用还须经过工具名、参数和模式权限验证。缺少输入时系统进入 </w:t>
      </w:r>
      <w:r>
        <w:t>needs_input</w:t>
      </w:r>
      <w:r>
        <w:t xml:space="preserve">，越权调用进入 </w:t>
      </w:r>
      <w:r>
        <w:t>blocked</w:t>
      </w:r>
      <w:r>
        <w:t xml:space="preserve">，工具异常进入 </w:t>
      </w:r>
      <w:r>
        <w:t>failed</w:t>
      </w:r>
      <w:r>
        <w:t xml:space="preserve">，全部写入 </w:t>
      </w:r>
      <w:r>
        <w:t>agent_run.json</w:t>
      </w:r>
      <w:r>
        <w:t>。案例打包器校验原始与中间文件哈希、排名连续性、分数有效性、Top-10 账本及预先冻结的参考药清单，再输出 JSON 报告、阶段轨迹和外部模型调用成本。目前默认路由到人工复核，外部模型调用次数为零。可选 Jev 适配器依照 TypeSafe 官方 API 支持 Choice、Score、Noul；回答须经过代码验证，低置信度、服务失败和临床发布请求不能自动放行。没有凭据时不调用 Jev，也不伪造 Jev 结果。</w:t>
      </w:r>
    </w:p>
    <w:p>
      <w:r>
        <w:t xml:space="preserve">Python 3.10 的 Benchmark 测试依赖记录在 </w:t>
      </w:r>
      <w:r>
        <w:t>requirements-benchmark.lock</w:t>
      </w:r>
      <w:r>
        <w:t>。当前环境中 23 项内部测试通过，其中新增自然语言路由、缺输入停机、外部 Planner 工具白名单和 Strict 模式权限测试。</w:t>
      </w:r>
      <w:r>
        <w:t>data/manifests/</w:t>
      </w:r>
      <w:r>
        <w:t xml:space="preserve"> 记录公开来源和本次文件哈希；完整表达矩阵保存在 Git 外。数据卡、系统卡、限制说明和执行步骤见 </w:t>
      </w:r>
      <w:r>
        <w:t>docs/</w:t>
      </w:r>
      <w:r>
        <w:t xml:space="preserve"> 与根目录 README。</w:t>
      </w:r>
    </w:p>
    <w:p>
      <w:pPr>
        <w:pStyle w:val="Heading1"/>
      </w:pPr>
      <w:r>
        <w:t>局限与后续工作</w:t>
      </w:r>
    </w:p>
    <w:p>
      <w:r>
        <w:t>本项目的表达反转指标在公开基准上没有取得领先结果，提示基于转录组的单一对抗方向不足以代表药物与疾病的真实治疗关系。LUAD 案例只有单一 A549 细胞系、固定剂量与时间，缺少化合物身份逐签名证据；前十名的类固醇集中也可能反映共同转录反应。PubMed 精确名称检索不能代替完整系统性综述，尚未完成每个候选的支持与反对文献、安全性及临床阶段核查。没有足够证据把任何候选推荐给患者。</w:t>
      </w:r>
    </w:p>
    <w:p>
      <w:r>
        <w:t>下一阶段需完成化合物层面的再核对、开放靶点与通路证据、人工审阅文献、更多独立疾病与细胞系验证、完整的 RECeSS 调参方案和更大的内部 Eval。若获得通用 LLM 与 Jev 访问权限，再在冻结决策数据集上比较 Jev、规则与通用 LLM 的准确率、校准、延迟和成本。课程 PDF 已完成核对；后续仅需把最新 Agent Trace 纳入约 10 分钟答辩材料并重新做视觉检查。</w:t>
      </w:r>
    </w:p>
    <w:p>
      <w:pPr>
        <w:pStyle w:val="Heading1"/>
      </w:pPr>
      <w:r>
        <w:t>参考与复现材料</w:t>
      </w:r>
    </w:p>
    <w:p>
      <w:r>
        <w:t xml:space="preserve">项目计划与方法细节见根目录 </w:t>
      </w:r>
      <w:r>
        <w:t>药物重定位Agent项目计划.md</w:t>
      </w:r>
      <w:r>
        <w:t>、</w:t>
      </w:r>
      <w:r>
        <w:t>docs/evaluation_protocol.md</w:t>
      </w:r>
      <w:r>
        <w:t>、</w:t>
      </w:r>
      <w:r>
        <w:t>docs/benchmark_results.md</w:t>
      </w:r>
      <w:r>
        <w:t>、</w:t>
      </w:r>
      <w:r>
        <w:t>docs/luad_data_audit.md</w:t>
      </w:r>
      <w:r>
        <w:t>、</w:t>
      </w:r>
      <w:r>
        <w:t>docs/luad_screening_report.md</w:t>
      </w:r>
      <w:r>
        <w:t xml:space="preserve">；来源与版本见 </w:t>
      </w:r>
      <w:r>
        <w:t>data/manifests/</w:t>
      </w:r>
      <w:r>
        <w:t xml:space="preserve">。核心公开来源为 </w:t>
      </w:r>
      <w:hyperlink r:id="rId11">
        <w:r>
          <w:rPr>
            <w:color w:val="174F78"/>
          </w:rPr>
          <w:t>TRANSCRIPT</w:t>
        </w:r>
      </w:hyperlink>
      <w:r>
        <w:t>、</w:t>
      </w:r>
      <w:hyperlink r:id="rId12">
        <w:r>
          <w:rPr>
            <w:color w:val="174F78"/>
          </w:rPr>
          <w:t>GSE32863</w:t>
        </w:r>
      </w:hyperlink>
      <w:r>
        <w:t>、</w:t>
      </w:r>
      <w:hyperlink r:id="rId13">
        <w:r>
          <w:rPr>
            <w:color w:val="174F78"/>
          </w:rPr>
          <w:t>GSE92742</w:t>
        </w:r>
      </w:hyperlink>
      <w:r>
        <w:t>、</w:t>
      </w:r>
      <w:hyperlink r:id="rId18">
        <w:r>
          <w:rPr>
            <w:color w:val="174F78"/>
          </w:rPr>
          <w:t>Bioconductor limma</w:t>
        </w:r>
      </w:hyperlink>
      <w:r>
        <w:t>、</w:t>
      </w:r>
      <w:hyperlink r:id="rId19">
        <w:r>
          <w:rPr>
            <w:color w:val="174F78"/>
          </w:rPr>
          <w:t>NCBI E-utilities</w:t>
        </w:r>
      </w:hyperlink>
      <w:r>
        <w:t xml:space="preserve"> 和 </w:t>
      </w:r>
      <w:hyperlink r:id="rId20">
        <w:r>
          <w:rPr>
            <w:color w:val="174F78"/>
          </w:rPr>
          <w:t>TypeSafe System One API</w:t>
        </w:r>
      </w:hyperlink>
      <w:r>
        <w:t>。</w:t>
      </w:r>
    </w:p>
    <w:sectPr w:rsidR="00FC693F" w:rsidRPr="0006063C" w:rsidSect="00034616">
      <w:headerReference w:type="default" r:id="rId9"/>
      <w:footerReference w:type="default" r:id="rId10"/>
      <w:pgSz w:w="12240" w:h="15840"/>
      <w:pgMar w:top="979" w:right="1123" w:bottom="936"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A646C"/>
        <w:sz w:val="16"/>
      </w:rPr>
      <w:t>药物重定位 Agent 课程设计报告草稿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7982976" TargetMode="External"/><Relationship Id="rId12" Type="http://schemas.openxmlformats.org/officeDocument/2006/relationships/hyperlink" Target="https://www.ncbi.nlm.nih.gov/geo/query/acc.cgi?acc=GSE32863" TargetMode="External"/><Relationship Id="rId13" Type="http://schemas.openxmlformats.org/officeDocument/2006/relationships/hyperlink" Target="https://www.ncbi.nlm.nih.gov/geo/query/acc.cgi?acc=GSE92742" TargetMode="External"/><Relationship Id="rId14" Type="http://schemas.openxmlformats.org/officeDocument/2006/relationships/hyperlink" Target="https://bioconductor.org/packages/release/data/experiment/html/signatureSearchData.html" TargetMode="External"/><Relationship Id="rId15" Type="http://schemas.openxmlformats.org/officeDocument/2006/relationships/hyperlink" Target="https://repo-hub.broadinstitute.org/repurposing" TargetMode="External"/><Relationship Id="rId16" Type="http://schemas.openxmlformats.org/officeDocument/2006/relationships/hyperlink" Target="https://pubmed.ncbi.nlm.nih.gov/35676421/" TargetMode="External"/><Relationship Id="rId17" Type="http://schemas.openxmlformats.org/officeDocument/2006/relationships/hyperlink" Target="https://pubmed.ncbi.nlm.nih.gov/12538830/" TargetMode="External"/><Relationship Id="rId18" Type="http://schemas.openxmlformats.org/officeDocument/2006/relationships/hyperlink" Target="https://bioconductor.org/packages/release/bioc/html/limma.html" TargetMode="External"/><Relationship Id="rId19" Type="http://schemas.openxmlformats.org/officeDocument/2006/relationships/hyperlink" Target="https://www.ncbi.nlm.nih.gov/books/NBK25499/" TargetMode="External"/><Relationship Id="rId20" Type="http://schemas.openxmlformats.org/officeDocument/2006/relationships/hyperlink" Target="https://api.typesafe.a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