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66E66" w14:textId="77777777" w:rsidR="002B2677" w:rsidRPr="002B2677" w:rsidRDefault="002B2677" w:rsidP="002B2677">
      <w:r w:rsidRPr="002B2677">
        <w:fldChar w:fldCharType="begin"/>
      </w:r>
      <w:r w:rsidRPr="002B2677">
        <w:instrText>HYPERLINK "https://substack.com/home/post/p-181515279" \t "_blank"</w:instrText>
      </w:r>
      <w:r w:rsidRPr="002B2677">
        <w:fldChar w:fldCharType="separate"/>
      </w:r>
      <w:r w:rsidRPr="002B2677">
        <w:rPr>
          <w:rStyle w:val="Hyperlink"/>
          <w:b/>
          <w:bCs/>
        </w:rPr>
        <w:t>My current understanding of deep and difficult terms:</w:t>
      </w:r>
      <w:r w:rsidRPr="002B2677">
        <w:fldChar w:fldCharType="end"/>
      </w:r>
    </w:p>
    <w:p w14:paraId="4A211C4A" w14:textId="4E71D25B" w:rsidR="002B2677" w:rsidRDefault="002B2677" w:rsidP="002B2677">
      <w:r w:rsidRPr="002B2677">
        <w:t>Possible working definitions for concepts in diverse intelligence, philosophy of mind, and synthetic morphology:</w:t>
      </w:r>
    </w:p>
    <w:p w14:paraId="344F3AE7" w14:textId="15ADDDC2" w:rsidR="002B2677" w:rsidRPr="002B2677" w:rsidRDefault="002B2677" w:rsidP="002B2677">
      <w:r w:rsidRPr="002B2677">
        <w:t xml:space="preserve">Memory, agency, decision-making, choosing, cognition, goal-directedness, life - </w:t>
      </w:r>
      <w:proofErr w:type="gramStart"/>
      <w:r w:rsidRPr="002B2677">
        <w:t>all of</w:t>
      </w:r>
      <w:proofErr w:type="gramEnd"/>
      <w:r w:rsidRPr="002B2677">
        <w:t xml:space="preserve"> these terms drive energetic arguments. Many scientists, as well as the </w:t>
      </w:r>
      <w:proofErr w:type="gramStart"/>
      <w:r w:rsidRPr="002B2677">
        <w:t>general public</w:t>
      </w:r>
      <w:proofErr w:type="gramEnd"/>
      <w:r w:rsidRPr="002B2677">
        <w:t xml:space="preserve">, often have strong feelings about when and how these terms are </w:t>
      </w:r>
      <w:proofErr w:type="spellStart"/>
      <w:r w:rsidRPr="002B2677">
        <w:t>do</w:t>
      </w:r>
      <w:proofErr w:type="spellEnd"/>
      <w:r w:rsidRPr="002B2677">
        <w:t xml:space="preserve"> be used, but often struggle to give definitions that support specific opinions. I also find that accepted colloquial (</w:t>
      </w:r>
      <w:proofErr w:type="gramStart"/>
      <w:r w:rsidRPr="002B2677">
        <w:t>common-use</w:t>
      </w:r>
      <w:proofErr w:type="gramEnd"/>
      <w:r w:rsidRPr="002B2677">
        <w:t>) definitions fall apart when probed or applied to modern contexts. Here is my attempt to make more precise what I mean when I use these terms in </w:t>
      </w:r>
      <w:hyperlink r:id="rId5" w:history="1">
        <w:r w:rsidRPr="002B2677">
          <w:rPr>
            <w:rStyle w:val="Hyperlink"/>
          </w:rPr>
          <w:t>papers</w:t>
        </w:r>
      </w:hyperlink>
      <w:r w:rsidRPr="002B2677">
        <w:t> and </w:t>
      </w:r>
      <w:hyperlink r:id="rId6" w:history="1">
        <w:r w:rsidRPr="002B2677">
          <w:rPr>
            <w:rStyle w:val="Hyperlink"/>
          </w:rPr>
          <w:t>talks</w:t>
        </w:r>
      </w:hyperlink>
      <w:r w:rsidRPr="002B2677">
        <w:t>. I’m not suggesting these are “the” correct definitions; these are my attempts to understand how these words can be used in a way that moves research and understanding forward.</w:t>
      </w:r>
    </w:p>
    <w:p w14:paraId="5E937779" w14:textId="77777777" w:rsidR="002B2677" w:rsidRPr="002B2677" w:rsidRDefault="002B2677" w:rsidP="002B2677">
      <w:r w:rsidRPr="002B2677">
        <w:t xml:space="preserve">I think each of these is a metaphor, like all scientific concepts - a package of methods and relationships between ideas that offers to ways to think. It is a lens through which we can choose to view a particular context. </w:t>
      </w:r>
      <w:proofErr w:type="gramStart"/>
      <w:r w:rsidRPr="002B2677">
        <w:t>All of</w:t>
      </w:r>
      <w:proofErr w:type="gramEnd"/>
      <w:r w:rsidRPr="002B2677">
        <w:t xml:space="preserve"> these terms are observer-dependent and relative to a reference frame (a problem space); each one has advantages and limitations. The quality of each lens is determined by how much insight they enable in a specific context (not by philosophical pre-commitments). In a science/engineering setting, this means, how much prediction, control, and discovery they facilitate - ability to drive novel questions and research progress. In other contexts, it may mean how much each definition contributes to an ethical, </w:t>
      </w:r>
      <w:proofErr w:type="gramStart"/>
      <w:r w:rsidRPr="002B2677">
        <w:t>mutually-beneficial</w:t>
      </w:r>
      <w:proofErr w:type="gramEnd"/>
      <w:r w:rsidRPr="002B2677">
        <w:t xml:space="preserve"> relationship with some system or being.</w:t>
      </w:r>
    </w:p>
    <w:p w14:paraId="3515561D" w14:textId="77777777" w:rsidR="002B2677" w:rsidRPr="002B2677" w:rsidRDefault="002B2677" w:rsidP="002B2677">
      <w:r w:rsidRPr="002B2677">
        <w:t>Clarity on what one means by these is essential when embarking on a specific discussion about some system; but I see this task as less about demarcating precise formal definitions and more about specifying the operational properties of the term - what is it supposed to do for us, how does it work, how do we recognize when it’s happening, how to measure it, and how to use it to drive discovery forward.</w:t>
      </w:r>
    </w:p>
    <w:p w14:paraId="0E956464" w14:textId="77777777" w:rsidR="002B2677" w:rsidRPr="002B2677" w:rsidRDefault="002B2677" w:rsidP="002B2677">
      <w:r w:rsidRPr="002B2677">
        <w:t xml:space="preserve">A scale of analysis should be made explicit in such definitions. For example, many attempts to define “decision-making” break down because of an implicit focus on molecular events (at which point, anything like “making a decision” slips through our fingers and disappears). But this is not the only level of analysis and may be sub-optimal in many circumstances. For example, the degree to which an event is a “decision” has to be judged with respect to how much the optimal understanding and control of that event by an observer (e.g., scientist, or other biological system) will require knowledge of the large-scale goals, adaptive cycles, reward functions, and context - it is only defined within a context that may include evolutionary or engineering cycles. Specifically, the degree to which a process is a decision is proportional to the size of the informational light cone of spatiotemporal events that need to be considered for optimal understanding and management of that event. Very mechanical </w:t>
      </w:r>
      <w:proofErr w:type="spellStart"/>
      <w:r w:rsidRPr="002B2677">
        <w:t>behaviors</w:t>
      </w:r>
      <w:proofErr w:type="spellEnd"/>
      <w:r w:rsidRPr="002B2677">
        <w:t xml:space="preserve"> can be well-captured by adding up the immediate, local pushes and pulls occurring to an object. In contrast, to properly understand the events happening in a complex agent, one needs to consider events in the distant past (due to memory), the distant future (due to predictive capacity), and in other locations (due to integrated information across space). Similarly, the closely-related concept of free will cannot be sought in molecular events (where only mechanical necessity and quantum randomness can be found) but in the large-scale </w:t>
      </w:r>
      <w:proofErr w:type="spellStart"/>
      <w:r w:rsidRPr="002B2677">
        <w:t>behavioral</w:t>
      </w:r>
      <w:proofErr w:type="spellEnd"/>
      <w:r w:rsidRPr="002B2677">
        <w:t xml:space="preserve"> functions that are best understood as a cognitive system curating its own structure and future possibilities by rich chains of action that take place over time (niche construction of, and for, a future Self).</w:t>
      </w:r>
    </w:p>
    <w:p w14:paraId="1438F93E" w14:textId="77777777" w:rsidR="002B2677" w:rsidRPr="002B2677" w:rsidRDefault="002B2677" w:rsidP="002B2677">
      <w:r w:rsidRPr="002B2677">
        <w:lastRenderedPageBreak/>
        <w:t>With that preamble, here are some definitions of relevant words as I use them:</w:t>
      </w:r>
    </w:p>
    <w:p w14:paraId="68BE79BE" w14:textId="77777777" w:rsidR="002B2677" w:rsidRPr="002B2677" w:rsidRDefault="002B2677" w:rsidP="002B2677">
      <w:pPr>
        <w:numPr>
          <w:ilvl w:val="0"/>
          <w:numId w:val="1"/>
        </w:numPr>
      </w:pPr>
      <w:r w:rsidRPr="002B2677">
        <w:rPr>
          <w:i/>
          <w:iCs/>
        </w:rPr>
        <w:t>Agent -</w:t>
      </w:r>
      <w:r w:rsidRPr="002B2677">
        <w:t> a system that executes a perceptual control loop, in which it takes measurements, compares to setpoints, and tries to minimize error with respect to its expectations about its own state and those of the outside world. Agents are </w:t>
      </w:r>
      <w:hyperlink r:id="rId7" w:history="1">
        <w:r w:rsidRPr="002B2677">
          <w:rPr>
            <w:rStyle w:val="Hyperlink"/>
          </w:rPr>
          <w:t>demarcated by a cognitive light cone</w:t>
        </w:r>
      </w:hyperlink>
      <w:r w:rsidRPr="002B2677">
        <w:t> set by the spatiotemporal size of the goals it can pursue. Agents sense, act, and make models of the world around them (and themselves). Agents can be described at multiple scales, including the microscopic scale that emphasizes determinism and backwards-looking explanations for events. Use of the word “Agent” refers to a frame that emphasizes:</w:t>
      </w:r>
    </w:p>
    <w:p w14:paraId="6E514D08" w14:textId="77777777" w:rsidR="002B2677" w:rsidRPr="002B2677" w:rsidRDefault="002B2677" w:rsidP="002B2677">
      <w:pPr>
        <w:numPr>
          <w:ilvl w:val="1"/>
          <w:numId w:val="1"/>
        </w:numPr>
      </w:pPr>
      <w:r w:rsidRPr="002B2677">
        <w:t>3rd person (external) recognition of a system with competency to navigate problem spaces. Low-agency tools (the tools of physics) are not good at detecting agency (this is why they see chemistry, not minds). Agency is best detected by another agent’s cognitive processes in (i.e., external observers such as scientists, parasites, and conspecifics), via perturbational experiments. Detection of Agency is fallible, observer-dependent (not objective), and empirical.</w:t>
      </w:r>
    </w:p>
    <w:p w14:paraId="40051209" w14:textId="77777777" w:rsidR="002B2677" w:rsidRPr="002B2677" w:rsidRDefault="002B2677" w:rsidP="002B2677">
      <w:pPr>
        <w:numPr>
          <w:ilvl w:val="1"/>
          <w:numId w:val="1"/>
        </w:numPr>
      </w:pPr>
      <w:r w:rsidRPr="002B2677">
        <w:t xml:space="preserve">2nd person perspective - attempts to control other agents in a communication/instruction mode - tools along the Continuum of </w:t>
      </w:r>
      <w:proofErr w:type="spellStart"/>
      <w:r w:rsidRPr="002B2677">
        <w:t>Persuadability</w:t>
      </w:r>
      <w:proofErr w:type="spellEnd"/>
      <w:r w:rsidRPr="002B2677">
        <w:t xml:space="preserve"> (again, dependent on the skill of the observer to deploy the correct tools to exert control and hack the agent to desired outcomes). Control doesn’t mean unidirectional exertion of will on another - control is also a part of successful communication for example, where one tries to construct messages that will have desired impact on the course of another mind’s activity.</w:t>
      </w:r>
    </w:p>
    <w:p w14:paraId="1D91ACED" w14:textId="77777777" w:rsidR="002B2677" w:rsidRPr="002B2677" w:rsidRDefault="002B2677" w:rsidP="002B2677">
      <w:pPr>
        <w:numPr>
          <w:ilvl w:val="1"/>
          <w:numId w:val="1"/>
        </w:numPr>
      </w:pPr>
      <w:r w:rsidRPr="002B2677">
        <w:t>1st person perspective - significant agents require us to take </w:t>
      </w:r>
      <w:r w:rsidRPr="002B2677">
        <w:rPr>
          <w:i/>
          <w:iCs/>
        </w:rPr>
        <w:t>its</w:t>
      </w:r>
      <w:r w:rsidRPr="002B2677">
        <w:t xml:space="preserve"> perspective to optimally predict its </w:t>
      </w:r>
      <w:proofErr w:type="spellStart"/>
      <w:r w:rsidRPr="002B2677">
        <w:t>behavior</w:t>
      </w:r>
      <w:proofErr w:type="spellEnd"/>
      <w:r w:rsidRPr="002B2677">
        <w:t xml:space="preserve"> or communicate with it.</w:t>
      </w:r>
    </w:p>
    <w:p w14:paraId="78A3C8C6" w14:textId="77777777" w:rsidR="002B2677" w:rsidRPr="002B2677" w:rsidRDefault="002B2677" w:rsidP="002B2677">
      <w:pPr>
        <w:numPr>
          <w:ilvl w:val="0"/>
          <w:numId w:val="1"/>
        </w:numPr>
      </w:pPr>
      <w:r w:rsidRPr="002B2677">
        <w:rPr>
          <w:i/>
          <w:iCs/>
        </w:rPr>
        <w:t>Self -</w:t>
      </w:r>
      <w:r w:rsidRPr="002B2677">
        <w:t xml:space="preserve"> a term that emphasizes 1st-person inner perspective consisting of valence, attention, and decision-making. Selves are owners of goals, preferences, and memories that do not belong to any of their parts - an emergent whole implemented by an interlocked triad of: an option space within which it operates, a cognitive light cone demarcating the size of goals in that space which the system can pursue, and a set of cognitive processes that allow the system to navigate the space with some degree of competency). Selves live forward in time, being essentially decision-making systems that cannot be effectively circumscribed by deterministic backwards-looking causal stories. Selves arise when some collection of parts all buy in to the same shared story (model) of themselves and their environment (e.g., when cells become coupled by gap junctions, which allows them to share physiological engrams of experiences and thus build up the same internal models/memories, become a coherent emergent morphogenetic agent like an embryo). A defining feature of significant Selves is that they do not try to observe reality “as it is” (preserving the fidelity of information about the environment’s microstates) but instead compress and coarse-grain it into memories that will allow their future </w:t>
      </w:r>
      <w:proofErr w:type="spellStart"/>
      <w:r w:rsidRPr="002B2677">
        <w:t>Selflets</w:t>
      </w:r>
      <w:proofErr w:type="spellEnd"/>
      <w:r w:rsidRPr="002B2677">
        <w:t xml:space="preserve"> to preserve </w:t>
      </w:r>
      <w:hyperlink r:id="rId8" w:history="1">
        <w:r w:rsidRPr="002B2677">
          <w:rPr>
            <w:rStyle w:val="Hyperlink"/>
          </w:rPr>
          <w:t>salience via improvisation</w:t>
        </w:r>
      </w:hyperlink>
      <w:r w:rsidRPr="002B2677">
        <w:t xml:space="preserve">, not detail. Selves interpret and reinterpret their memory engrams as they do with any input or signal, not being tied to how the sender (including their own past </w:t>
      </w:r>
      <w:proofErr w:type="spellStart"/>
      <w:r w:rsidRPr="002B2677">
        <w:t>Selflet</w:t>
      </w:r>
      <w:proofErr w:type="spellEnd"/>
      <w:r w:rsidRPr="002B2677">
        <w:t xml:space="preserve">) meant it but doing the best it can to extract adaptive meaning in current internal and external circumstances (this is an example of </w:t>
      </w:r>
      <w:proofErr w:type="spellStart"/>
      <w:r w:rsidRPr="002B2677">
        <w:t>Polycomputing</w:t>
      </w:r>
      <w:proofErr w:type="spellEnd"/>
      <w:r w:rsidRPr="002B2677">
        <w:t>). Selves are primarily sense-</w:t>
      </w:r>
      <w:r w:rsidRPr="002B2677">
        <w:lastRenderedPageBreak/>
        <w:t>making systems, which reinforce their own reality via models of the world in which they exist.</w:t>
      </w:r>
    </w:p>
    <w:p w14:paraId="3E5A5B7A" w14:textId="77777777" w:rsidR="002B2677" w:rsidRPr="002B2677" w:rsidRDefault="002B2677" w:rsidP="002B2677">
      <w:pPr>
        <w:numPr>
          <w:ilvl w:val="0"/>
          <w:numId w:val="1"/>
        </w:numPr>
      </w:pPr>
      <w:r w:rsidRPr="002B2677">
        <w:rPr>
          <w:i/>
          <w:iCs/>
        </w:rPr>
        <w:t>Goal -</w:t>
      </w:r>
      <w:r w:rsidRPr="002B2677">
        <w:t xml:space="preserve"> A goal exists whenever using the tools of goal-based frameworks (e.g., cybernetics) give engineers good traction on the system (prediction and control). This is not the same thing as “purpose” (high-level goals where an agent has the meta-cognition to think about having goals and what they might be). </w:t>
      </w:r>
      <w:proofErr w:type="gramStart"/>
      <w:r w:rsidRPr="002B2677">
        <w:t>And,</w:t>
      </w:r>
      <w:proofErr w:type="gramEnd"/>
      <w:r w:rsidRPr="002B2677">
        <w:t xml:space="preserve"> I think even bowling balls and such have the tiniest, most basic, nano-goals because they follow least-action laws. The word “goal” is useful to indicate situations where an engineer does not need to micromanage some aspects of the system because they can offload that onto the system itself (when it has some ability to pursue goals without you controlling each step). A goal-directed system lets you, as the engineer, trust it to do stuff when you’re not around. So, does a bowling ball have such a property? Yes. Imagine you’re an engineer building a Roller Coaster at an amusement park. What you </w:t>
      </w:r>
      <w:proofErr w:type="gramStart"/>
      <w:r w:rsidRPr="002B2677">
        <w:t>have to</w:t>
      </w:r>
      <w:proofErr w:type="gramEnd"/>
      <w:r w:rsidRPr="002B2677">
        <w:t xml:space="preserve"> do is engineer a way for it to get up the hill. But you don’t have to worry about getting it down the hill - it already does that, autonomously. Following energy gradients is the simplest, most basic goal there is, and thus is not 0 on the scale of goal-directedness. Sure, it’s incredibly minimal and doesn’t quite look like the goals smart beings have (although some human psychological phenomena can be cashed out as a system following an energy landscape in terms of basic drives and rewards etc.), but I think it’s not 0. Crucially, thinking of goals this way (as a continuum) avoids </w:t>
      </w:r>
      <w:proofErr w:type="spellStart"/>
      <w:r w:rsidRPr="002B2677">
        <w:t>pseudoproblems</w:t>
      </w:r>
      <w:proofErr w:type="spellEnd"/>
      <w:r w:rsidRPr="002B2677">
        <w:t xml:space="preserve"> brought on by binary frameworks, such as the following. Do single cell organisms have goals? If so, then little bags of chemical networks have goals. If not, then given that we all formed from single cells (fertilized egg), when during the gradual, extended process of development did goal-directedness show up?</w:t>
      </w:r>
    </w:p>
    <w:p w14:paraId="2B74216D" w14:textId="77777777" w:rsidR="002B2677" w:rsidRPr="002B2677" w:rsidRDefault="002B2677" w:rsidP="002B2677">
      <w:pPr>
        <w:numPr>
          <w:ilvl w:val="0"/>
          <w:numId w:val="1"/>
        </w:numPr>
      </w:pPr>
      <w:r w:rsidRPr="002B2677">
        <w:rPr>
          <w:i/>
          <w:iCs/>
        </w:rPr>
        <w:t>Intelligence</w:t>
      </w:r>
      <w:r w:rsidRPr="002B2677">
        <w:t> - a degree of capacity for problem-solving, also known as competently navigating a problem space to reach specific goals despite barriers and novel circumstances. Intelligence is an estimate made of a system by some other observer (i.e., it’s in the eye of the beholder and relative to that observer’s skill in formulating hypotheses about problem spaces, goals, and competencies and then using perturbative experiments to test them). Intelligence is but a subset of cognitive repertoire more broadly, because there are other components in some systems like exploration, play, ability to change goals (2nd order intelligence), ability to commit to become better at meeting goals and setting goals (3rd order) etc. that are not included in this simple definition. What this definition has going for it is that it can be used to design and evaluate </w:t>
      </w:r>
      <w:hyperlink r:id="rId9" w:history="1">
        <w:r w:rsidRPr="002B2677">
          <w:rPr>
            <w:rStyle w:val="Hyperlink"/>
          </w:rPr>
          <w:t>experiments on a wide range of systems</w:t>
        </w:r>
      </w:hyperlink>
      <w:r w:rsidRPr="002B2677">
        <w:t> without having to get into difficult issues of consciousness etc.</w:t>
      </w:r>
    </w:p>
    <w:p w14:paraId="21331EBA" w14:textId="77777777" w:rsidR="002B2677" w:rsidRPr="002B2677" w:rsidRDefault="002B2677" w:rsidP="002B2677">
      <w:pPr>
        <w:numPr>
          <w:ilvl w:val="0"/>
          <w:numId w:val="1"/>
        </w:numPr>
      </w:pPr>
      <w:r w:rsidRPr="002B2677">
        <w:rPr>
          <w:i/>
          <w:iCs/>
        </w:rPr>
        <w:t>Embodiment</w:t>
      </w:r>
      <w:r w:rsidRPr="002B2677">
        <w:t xml:space="preserve"> - I think embodiment is very important for the development of </w:t>
      </w:r>
      <w:proofErr w:type="gramStart"/>
      <w:r w:rsidRPr="002B2677">
        <w:t>intelligence</w:t>
      </w:r>
      <w:proofErr w:type="gramEnd"/>
      <w:r w:rsidRPr="002B2677">
        <w:t xml:space="preserve"> but it doesn’t have to be an obvious body that moves in 3D space, like a conventional motile animal or robot. Biology implements embodiment in many different </w:t>
      </w:r>
      <w:hyperlink r:id="rId10" w:history="1">
        <w:r w:rsidRPr="002B2677">
          <w:rPr>
            <w:rStyle w:val="Hyperlink"/>
          </w:rPr>
          <w:t>spaces</w:t>
        </w:r>
      </w:hyperlink>
      <w:r w:rsidRPr="002B2677">
        <w:t xml:space="preserve">, many of which are hard for us to visualize: physiological state space, metabolic space, transcriptional (gene expression) space, anatomical </w:t>
      </w:r>
      <w:proofErr w:type="spellStart"/>
      <w:r w:rsidRPr="002B2677">
        <w:t>morphospace</w:t>
      </w:r>
      <w:proofErr w:type="spellEnd"/>
      <w:r w:rsidRPr="002B2677">
        <w:t xml:space="preserve">, linguistic space, etc. The key thing about embodiment is bi-directional engagement with a space in which the perception-prediction-action loop can be executed. Moreover, the body should offer constraints (akin to the laws of physics in familiar 3D space), and </w:t>
      </w:r>
      <w:proofErr w:type="spellStart"/>
      <w:r w:rsidRPr="002B2677">
        <w:t>enablements</w:t>
      </w:r>
      <w:proofErr w:type="spellEnd"/>
      <w:r w:rsidRPr="002B2677">
        <w:t>, resulting in the offloading of cognitive tasks to the environment as studied in </w:t>
      </w:r>
      <w:hyperlink r:id="rId11" w:history="1">
        <w:r w:rsidRPr="002B2677">
          <w:rPr>
            <w:rStyle w:val="Hyperlink"/>
          </w:rPr>
          <w:t>morphological computation</w:t>
        </w:r>
      </w:hyperlink>
      <w:r w:rsidRPr="002B2677">
        <w:t xml:space="preserve"> (in other words, the environment can be exploited for </w:t>
      </w:r>
      <w:r w:rsidRPr="002B2677">
        <w:lastRenderedPageBreak/>
        <w:t>affordances as well as providing constraints that offer innumerable problems to be navigated).</w:t>
      </w:r>
    </w:p>
    <w:p w14:paraId="412E8E07" w14:textId="77777777" w:rsidR="002B2677" w:rsidRPr="002B2677" w:rsidRDefault="002B2677" w:rsidP="002B2677">
      <w:pPr>
        <w:numPr>
          <w:ilvl w:val="0"/>
          <w:numId w:val="1"/>
        </w:numPr>
      </w:pPr>
      <w:r w:rsidRPr="002B2677">
        <w:rPr>
          <w:i/>
          <w:iCs/>
        </w:rPr>
        <w:t>Life</w:t>
      </w:r>
      <w:r w:rsidRPr="002B2677">
        <w:t> - I actually don’t worry much about the definition of “life” (I’m much more interested in the spectrum of “cognition”, which I think is a broader and more fundamental category than life), but if we wanted to </w:t>
      </w:r>
      <w:hyperlink r:id="rId12" w:history="1">
        <w:r w:rsidRPr="002B2677">
          <w:rPr>
            <w:rStyle w:val="Hyperlink"/>
          </w:rPr>
          <w:t>define</w:t>
        </w:r>
      </w:hyperlink>
      <w:r w:rsidRPr="002B2677">
        <w:t> it, I think we call life those cognitive systems that a) self-assemble under metabolic constraints (scarcity of time and energy, which demands essential coarse-graining and agential world-models, as well as memory </w:t>
      </w:r>
      <w:hyperlink r:id="rId13" w:history="1">
        <w:r w:rsidRPr="002B2677">
          <w:rPr>
            <w:rStyle w:val="Hyperlink"/>
            <w:b/>
            <w:bCs/>
          </w:rPr>
          <w:t>reinterpretation</w:t>
        </w:r>
      </w:hyperlink>
      <w:r w:rsidRPr="002B2677">
        <w:t> that commits to sense-making over fidelity), b) significantly scales up several nested levels of components’ competencies to larger</w:t>
      </w:r>
      <w:hyperlink r:id="rId14" w:history="1">
        <w:r w:rsidRPr="002B2677">
          <w:rPr>
            <w:rStyle w:val="Hyperlink"/>
            <w:b/>
            <w:bCs/>
          </w:rPr>
          <w:t> cognitive light cones</w:t>
        </w:r>
      </w:hyperlink>
      <w:r w:rsidRPr="002B2677">
        <w:t> in new problem spaces, and c) do all this in a semi-persistent </w:t>
      </w:r>
      <w:r w:rsidRPr="002B2677">
        <w:rPr>
          <w:i/>
          <w:iCs/>
        </w:rPr>
        <w:t>physical</w:t>
      </w:r>
      <w:r w:rsidRPr="002B2677">
        <w:t xml:space="preserve"> body, whose </w:t>
      </w:r>
      <w:proofErr w:type="spellStart"/>
      <w:r w:rsidRPr="002B2677">
        <w:t>defense</w:t>
      </w:r>
      <w:proofErr w:type="spellEnd"/>
      <w:r w:rsidRPr="002B2677">
        <w:t xml:space="preserve"> over multiple time scales gives rise to differential replication and what we see as evolution. Life is a vulnerable system fundamentally oriented in forward time, and the need to choose the next action to maintain a coherent physical presence (remaining observable to others in physical space). Life forms face existential uncertainty about the meaning of their own memories and the world around them, the need to </w:t>
      </w:r>
      <w:proofErr w:type="gramStart"/>
      <w:r w:rsidRPr="002B2677">
        <w:t>coarse-grain</w:t>
      </w:r>
      <w:proofErr w:type="gramEnd"/>
      <w:r w:rsidRPr="002B2677">
        <w:t xml:space="preserve"> rooted in the scarcity of time and energy, and the task of keeping their parts aligned toward goals and in spaces they cannot perceive. Key aspects of life are </w:t>
      </w:r>
      <w:proofErr w:type="spellStart"/>
      <w:r w:rsidRPr="002B2677">
        <w:t>steermanship</w:t>
      </w:r>
      <w:proofErr w:type="spellEnd"/>
      <w:r w:rsidRPr="002B2677">
        <w:t>, leadership, uncertainty, creativity, projection into new spaces (searching for new problems, not just solutions), and the “strange loop” (in </w:t>
      </w:r>
      <w:hyperlink r:id="rId15" w:history="1">
        <w:r w:rsidRPr="002B2677">
          <w:rPr>
            <w:rStyle w:val="Hyperlink"/>
            <w:b/>
            <w:bCs/>
          </w:rPr>
          <w:t>Hofstadter’s</w:t>
        </w:r>
      </w:hyperlink>
      <w:r w:rsidRPr="002B2677">
        <w:t> sense) of giving its own memories, structure, and actions </w:t>
      </w:r>
      <w:hyperlink r:id="rId16" w:history="1">
        <w:r w:rsidRPr="002B2677">
          <w:rPr>
            <w:rStyle w:val="Hyperlink"/>
            <w:b/>
            <w:bCs/>
          </w:rPr>
          <w:t>meanings</w:t>
        </w:r>
      </w:hyperlink>
      <w:r w:rsidRPr="002B2677">
        <w:t xml:space="preserve"> (being its own observer with a nontrivial inner perspective or point of view). </w:t>
      </w:r>
      <w:proofErr w:type="gramStart"/>
      <w:r w:rsidRPr="002B2677">
        <w:t>Of course</w:t>
      </w:r>
      <w:proofErr w:type="gramEnd"/>
      <w:r w:rsidRPr="002B2677">
        <w:t xml:space="preserve"> the more conventional definitions (around thermodynamics, evolutionary change, etc.) are also relevant aspects.</w:t>
      </w:r>
    </w:p>
    <w:p w14:paraId="320B6ED2" w14:textId="77777777" w:rsidR="002B2677" w:rsidRPr="002B2677" w:rsidRDefault="002B2677" w:rsidP="002B2677">
      <w:pPr>
        <w:numPr>
          <w:ilvl w:val="0"/>
          <w:numId w:val="1"/>
        </w:numPr>
      </w:pPr>
      <w:r w:rsidRPr="002B2677">
        <w:rPr>
          <w:i/>
          <w:iCs/>
        </w:rPr>
        <w:t>Consciousness</w:t>
      </w:r>
      <w:r w:rsidRPr="002B2677">
        <w:t> - I think there are 2 key aspects not often mentioned in the field of consciousness studies. One is the experience of being responsible for </w:t>
      </w:r>
      <w:hyperlink r:id="rId17" w:history="1">
        <w:r w:rsidRPr="002B2677">
          <w:rPr>
            <w:rStyle w:val="Hyperlink"/>
            <w:b/>
            <w:bCs/>
          </w:rPr>
          <w:t>interpreting your own memories</w:t>
        </w:r>
      </w:hyperlink>
      <w:r w:rsidRPr="002B2677">
        <w:t> and thus continuously improvising your world-story and self-story. Consciousness is what it feels like to be a particular kind of agent, exerting continuous effort of propagating a story to your subsystems (along the</w:t>
      </w:r>
      <w:hyperlink r:id="rId18" w:history="1">
        <w:r w:rsidRPr="002B2677">
          <w:rPr>
            <w:rStyle w:val="Hyperlink"/>
            <w:b/>
            <w:bCs/>
          </w:rPr>
          <w:t> </w:t>
        </w:r>
        <w:proofErr w:type="spellStart"/>
        <w:r w:rsidRPr="002B2677">
          <w:rPr>
            <w:rStyle w:val="Hyperlink"/>
            <w:b/>
            <w:bCs/>
          </w:rPr>
          <w:t>thought→thinker</w:t>
        </w:r>
        <w:proofErr w:type="spellEnd"/>
        <w:r w:rsidRPr="002B2677">
          <w:rPr>
            <w:rStyle w:val="Hyperlink"/>
            <w:b/>
            <w:bCs/>
          </w:rPr>
          <w:t xml:space="preserve"> spectrum</w:t>
        </w:r>
      </w:hyperlink>
      <w:r w:rsidRPr="002B2677">
        <w:t>) to keep them aligned and thus keep yourself in physical existence. Another way to think about consciousness is as the view (perspective) of a </w:t>
      </w:r>
      <w:hyperlink r:id="rId19" w:history="1">
        <w:r w:rsidRPr="002B2677">
          <w:rPr>
            <w:rStyle w:val="Hyperlink"/>
            <w:b/>
            <w:bCs/>
          </w:rPr>
          <w:t>pattern within the Platonic Space</w:t>
        </w:r>
      </w:hyperlink>
      <w:r w:rsidRPr="002B2677">
        <w:t> looking outward into the physical world.</w:t>
      </w:r>
    </w:p>
    <w:p w14:paraId="4941196F" w14:textId="3988C51C" w:rsidR="00B65E9C" w:rsidRDefault="002B2677">
      <w:r>
        <w:t>Michael Levin - Substack</w:t>
      </w:r>
    </w:p>
    <w:sectPr w:rsidR="00B65E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481AAD"/>
    <w:multiLevelType w:val="multilevel"/>
    <w:tmpl w:val="15607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384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677"/>
    <w:rsid w:val="001E2704"/>
    <w:rsid w:val="001F6E50"/>
    <w:rsid w:val="002B2677"/>
    <w:rsid w:val="00B65E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55E24"/>
  <w15:chartTrackingRefBased/>
  <w15:docId w15:val="{6E631032-E874-46F0-B5FB-CD558E2E1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677"/>
    <w:rPr>
      <w:rFonts w:eastAsiaTheme="majorEastAsia" w:cstheme="majorBidi"/>
      <w:color w:val="272727" w:themeColor="text1" w:themeTint="D8"/>
    </w:rPr>
  </w:style>
  <w:style w:type="paragraph" w:styleId="Title">
    <w:name w:val="Title"/>
    <w:basedOn w:val="Normal"/>
    <w:next w:val="Normal"/>
    <w:link w:val="TitleChar"/>
    <w:uiPriority w:val="10"/>
    <w:qFormat/>
    <w:rsid w:val="002B2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677"/>
    <w:pPr>
      <w:spacing w:before="160"/>
      <w:jc w:val="center"/>
    </w:pPr>
    <w:rPr>
      <w:i/>
      <w:iCs/>
      <w:color w:val="404040" w:themeColor="text1" w:themeTint="BF"/>
    </w:rPr>
  </w:style>
  <w:style w:type="character" w:customStyle="1" w:styleId="QuoteChar">
    <w:name w:val="Quote Char"/>
    <w:basedOn w:val="DefaultParagraphFont"/>
    <w:link w:val="Quote"/>
    <w:uiPriority w:val="29"/>
    <w:rsid w:val="002B2677"/>
    <w:rPr>
      <w:i/>
      <w:iCs/>
      <w:color w:val="404040" w:themeColor="text1" w:themeTint="BF"/>
    </w:rPr>
  </w:style>
  <w:style w:type="paragraph" w:styleId="ListParagraph">
    <w:name w:val="List Paragraph"/>
    <w:basedOn w:val="Normal"/>
    <w:uiPriority w:val="34"/>
    <w:qFormat/>
    <w:rsid w:val="002B2677"/>
    <w:pPr>
      <w:ind w:left="720"/>
      <w:contextualSpacing/>
    </w:pPr>
  </w:style>
  <w:style w:type="character" w:styleId="IntenseEmphasis">
    <w:name w:val="Intense Emphasis"/>
    <w:basedOn w:val="DefaultParagraphFont"/>
    <w:uiPriority w:val="21"/>
    <w:qFormat/>
    <w:rsid w:val="002B2677"/>
    <w:rPr>
      <w:i/>
      <w:iCs/>
      <w:color w:val="0F4761" w:themeColor="accent1" w:themeShade="BF"/>
    </w:rPr>
  </w:style>
  <w:style w:type="paragraph" w:styleId="IntenseQuote">
    <w:name w:val="Intense Quote"/>
    <w:basedOn w:val="Normal"/>
    <w:next w:val="Normal"/>
    <w:link w:val="IntenseQuoteChar"/>
    <w:uiPriority w:val="30"/>
    <w:qFormat/>
    <w:rsid w:val="002B2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677"/>
    <w:rPr>
      <w:i/>
      <w:iCs/>
      <w:color w:val="0F4761" w:themeColor="accent1" w:themeShade="BF"/>
    </w:rPr>
  </w:style>
  <w:style w:type="character" w:styleId="IntenseReference">
    <w:name w:val="Intense Reference"/>
    <w:basedOn w:val="DefaultParagraphFont"/>
    <w:uiPriority w:val="32"/>
    <w:qFormat/>
    <w:rsid w:val="002B2677"/>
    <w:rPr>
      <w:b/>
      <w:bCs/>
      <w:smallCaps/>
      <w:color w:val="0F4761" w:themeColor="accent1" w:themeShade="BF"/>
      <w:spacing w:val="5"/>
    </w:rPr>
  </w:style>
  <w:style w:type="character" w:styleId="Hyperlink">
    <w:name w:val="Hyperlink"/>
    <w:basedOn w:val="DefaultParagraphFont"/>
    <w:uiPriority w:val="99"/>
    <w:unhideWhenUsed/>
    <w:rsid w:val="002B2677"/>
    <w:rPr>
      <w:color w:val="467886" w:themeColor="hyperlink"/>
      <w:u w:val="single"/>
    </w:rPr>
  </w:style>
  <w:style w:type="character" w:styleId="UnresolvedMention">
    <w:name w:val="Unresolved Mention"/>
    <w:basedOn w:val="DefaultParagraphFont"/>
    <w:uiPriority w:val="99"/>
    <w:semiHidden/>
    <w:unhideWhenUsed/>
    <w:rsid w:val="002B26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oughtforms.life/self-improvising-memories-a-few-thoughts-around-a-recent-paper/" TargetMode="External"/><Relationship Id="rId13" Type="http://schemas.openxmlformats.org/officeDocument/2006/relationships/hyperlink" Target="https://osf.io/preprints/osf/4b2wj" TargetMode="External"/><Relationship Id="rId18" Type="http://schemas.openxmlformats.org/officeDocument/2006/relationships/hyperlink" Target="https://www.sciencedirect.com/science/article/abs/pii/S1571064525000089"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frontiersin.org/articles/10.3389/fpsyg.2019.02688/abstract" TargetMode="External"/><Relationship Id="rId12" Type="http://schemas.openxmlformats.org/officeDocument/2006/relationships/hyperlink" Target="https://arxiv.org/abs/2505.15849" TargetMode="External"/><Relationship Id="rId17" Type="http://schemas.openxmlformats.org/officeDocument/2006/relationships/hyperlink" Target="https://thoughtforms.life/self-improvising-memories-a-few-thoughts-around-a-recent-paper/" TargetMode="External"/><Relationship Id="rId2" Type="http://schemas.openxmlformats.org/officeDocument/2006/relationships/styles" Target="styles.xml"/><Relationship Id="rId16" Type="http://schemas.openxmlformats.org/officeDocument/2006/relationships/hyperlink" Target="https://www.mdpi.com/2409-9287/5/4/36"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rmichaellevin.org/presentations/" TargetMode="External"/><Relationship Id="rId11" Type="http://schemas.openxmlformats.org/officeDocument/2006/relationships/hyperlink" Target="https://dl.acm.org/doi/abs/10.1007/978-3-642-00616-6_5" TargetMode="External"/><Relationship Id="rId5" Type="http://schemas.openxmlformats.org/officeDocument/2006/relationships/hyperlink" Target="https://drmichaellevin.org/publications/" TargetMode="External"/><Relationship Id="rId15" Type="http://schemas.openxmlformats.org/officeDocument/2006/relationships/hyperlink" Target="https://en.wikipedia.org/wiki/I_Am_a_Strange_Loop" TargetMode="External"/><Relationship Id="rId10" Type="http://schemas.openxmlformats.org/officeDocument/2006/relationships/hyperlink" Target="https://www.mdpi.com/1099-4300/24/6/819" TargetMode="External"/><Relationship Id="rId19" Type="http://schemas.openxmlformats.org/officeDocument/2006/relationships/hyperlink" Target="https://youtu.be/2RcW65tBxRA?si=cn-kN7lajebTSofu" TargetMode="External"/><Relationship Id="rId4" Type="http://schemas.openxmlformats.org/officeDocument/2006/relationships/webSettings" Target="webSettings.xml"/><Relationship Id="rId9" Type="http://schemas.openxmlformats.org/officeDocument/2006/relationships/hyperlink" Target="https://www.tandfonline.com/doi/full/10.1080/19420889.2021.2005863" TargetMode="External"/><Relationship Id="rId14" Type="http://schemas.openxmlformats.org/officeDocument/2006/relationships/hyperlink" Target="https://www.frontiersin.org/articles/10.3389/fpsyg.2019.02688/abs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2196</Words>
  <Characters>12518</Characters>
  <Application>Microsoft Office Word</Application>
  <DocSecurity>0</DocSecurity>
  <Lines>104</Lines>
  <Paragraphs>29</Paragraphs>
  <ScaleCrop>false</ScaleCrop>
  <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Wallace</dc:creator>
  <cp:keywords/>
  <dc:description/>
  <cp:lastModifiedBy>Charmaine Wallace</cp:lastModifiedBy>
  <cp:revision>1</cp:revision>
  <dcterms:created xsi:type="dcterms:W3CDTF">2026-04-09T09:38:00Z</dcterms:created>
  <dcterms:modified xsi:type="dcterms:W3CDTF">2026-04-09T09:39:00Z</dcterms:modified>
</cp:coreProperties>
</file>