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072"/>
            <w:shd w:val="clear" w:color="auto" w:fill="1D4ED8"/>
          </w:tcPr>
          <w:p>
            <w:pPr>
              <w:spacing w:before="200" w:after="20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MAKEREADY BY G54  —  PRICE QUOTATION</w:t>
            </w:r>
          </w:p>
        </w:tc>
      </w:tr>
    </w:tbl>
    <w:p>
      <w:pPr>
        <w:spacing w:after="40"/>
      </w:pPr>
    </w:p>
    <w:p>
      <w:pPr>
        <w:spacing w:before="400" w:after="80"/>
      </w:pPr>
      <w:r>
        <w:rPr>
          <w:rFonts w:ascii="Calibri" w:hAnsi="Calibri"/>
          <w:b/>
          <w:i w:val="0"/>
          <w:color w:val="0F172A"/>
          <w:sz w:val="52"/>
        </w:rPr>
        <w:t>Phased Program Proposal</w:t>
      </w:r>
    </w:p>
    <w:p>
      <w:pPr>
        <w:spacing w:after="40"/>
      </w:pPr>
      <w:r>
        <w:rPr>
          <w:rFonts w:ascii="Calibri" w:hAnsi="Calibri"/>
          <w:b w:val="0"/>
          <w:i/>
          <w:color w:val="475569"/>
          <w:sz w:val="25"/>
        </w:rPr>
        <w:t>Funded roadmap of fixed-fee phases — SAP B1 / Sage 100 replacement</w:t>
      </w:r>
    </w:p>
    <w:p>
      <w:pPr>
        <w:spacing w:before="80" w:after="80"/>
        <w:pBdr>
          <w:bottom w:val="single" w:sz="4" w:color="E2E8F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2880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Client</w:t>
            </w:r>
          </w:p>
        </w:tc>
        <w:tc>
          <w:tcPr>
            <w:tcW w:type="dxa" w:w="6192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Great Mountain West (g54.com)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Prepared By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Christopher Wall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Provider Email</w:t>
            </w:r>
          </w:p>
        </w:tc>
        <w:tc>
          <w:tcPr>
            <w:tcW w:type="dxa" w:w="6192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ck.wall@icloud.com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Product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MakeReady — Print MIS / ERP Platform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Date</w:t>
            </w:r>
          </w:p>
        </w:tc>
        <w:tc>
          <w:tcPr>
            <w:tcW w:type="dxa" w:w="6192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July 25, 2026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Status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Draft for client review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Net after Discovery credit</w:t>
            </w:r>
          </w:p>
        </w:tc>
        <w:tc>
          <w:tcPr>
            <w:tcW w:type="dxa" w:w="6192"/>
            <w:shd w:val="clear" w:color="auto" w:fill="F1F5F9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$195,000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100" w:after="100"/>
            </w:pPr>
            <w:r>
              <w:rPr>
                <w:rFonts w:ascii="Calibri" w:hAnsi="Calibri"/>
                <w:b/>
                <w:i w:val="0"/>
                <w:color w:val="0F172A"/>
                <w:sz w:val="20"/>
              </w:rPr>
              <w:t>With Foundation prepay</w:t>
            </w:r>
          </w:p>
        </w:tc>
        <w:tc>
          <w:tcPr>
            <w:tcW w:type="dxa" w:w="6192"/>
            <w:shd w:val="clear" w:color="auto" w:fill="FFFFFF"/>
          </w:tcPr>
          <w:p>
            <w:pPr>
              <w:spacing w:before="100" w:after="10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$193,000 net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5472"/>
            <w:shd w:val="clear" w:color="auto" w:fill="0F172A"/>
          </w:tcPr>
          <w:p>
            <w:pPr>
              <w:spacing w:before="160" w:after="160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Program Total (Phases 1-8)</w:t>
            </w:r>
          </w:p>
        </w:tc>
        <w:tc>
          <w:tcPr>
            <w:tcW w:type="dxa" w:w="3600"/>
            <w:shd w:val="clear" w:color="auto" w:fill="0F172A"/>
          </w:tcPr>
          <w:p>
            <w:pPr>
              <w:spacing w:before="120" w:after="1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$200,000</w:t>
            </w:r>
          </w:p>
        </w:tc>
      </w:tr>
    </w:tbl>
    <w:p>
      <w:r>
        <w:br w:type="page"/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1.  Engagement Model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MakeReady is delivered as a funded roadmap of fixed-fee phases against a fixed program budget of $200,000 (Phases 1-8). Each phase produces working, deployable software and is independently useful; Great Mountain West funds one phase at a time, and the per-phase fees below sum to the $200,000 cap. Each phase fee is a fixed allocation of that budget, confirmed against the phase's requirements at kickoff.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0"/>
        </w:rPr>
        <w:t>Note on depth: the full 8-phase scope at SAP Business One parity is independently estimated at $335,000-$495,000 to build to depth, and materially more at agency market rates (see the companion market benchmark). Delivering it within the $200,000 cap prioritizes core functionality per phase and defers lower-value depth to later change requests.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2.  Phase 0 — Discovery &amp; Design (complete)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2304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6768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304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Fee</w:t>
            </w:r>
          </w:p>
        </w:tc>
        <w:tc>
          <w:tcPr>
            <w:tcW w:type="dxa" w:w="6768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$5,000 flat — due at project start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Deliverables</w:t>
            </w:r>
          </w:p>
        </w:tc>
        <w:tc>
          <w:tcPr>
            <w:tcW w:type="dxa" w:w="6768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Full handoff package: 17 prototype screens, per-module requirements, data model, architecture</w:t>
            </w:r>
          </w:p>
        </w:tc>
      </w:tr>
      <w:tr>
        <w:tc>
          <w:tcPr>
            <w:tcW w:type="dxa" w:w="2304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Credit</w:t>
            </w:r>
          </w:p>
        </w:tc>
        <w:tc>
          <w:tcPr>
            <w:tcW w:type="dxa" w:w="6768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1D4ED8"/>
                <w:sz w:val="19"/>
              </w:rPr>
              <w:t>Credited in full against Phase 1 on award of the Foundation build</w:t>
            </w:r>
          </w:p>
        </w:tc>
      </w:tr>
    </w:tbl>
    <w:p>
      <w:pPr>
        <w:spacing w:after="80"/>
      </w:pP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3.  Build Phases &amp; Pricing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1008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Phase</w:t>
            </w:r>
          </w:p>
        </w:tc>
        <w:tc>
          <w:tcPr>
            <w:tcW w:type="dxa" w:w="6192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Scope</w:t>
            </w:r>
          </w:p>
        </w:tc>
        <w:tc>
          <w:tcPr>
            <w:tcW w:type="dxa" w:w="1872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Fixed Fee</w:t>
            </w:r>
          </w:p>
        </w:tc>
      </w:tr>
      <w:tr>
        <w:tc>
          <w:tcPr>
            <w:tcW w:type="dxa" w:w="1008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Phase 1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Platform Foundation + Customer &amp; Sales</w:t>
            </w:r>
          </w:p>
        </w:tc>
        <w:tc>
          <w:tcPr>
            <w:tcW w:type="dxa" w:w="1872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D4ED8"/>
                <w:sz w:val="19"/>
              </w:rPr>
              <w:t>$71,000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Phase 3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Web Store (Native B2B) — conditional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D4ED8"/>
                <w:sz w:val="19"/>
              </w:rPr>
              <w:t>$23,000</w:t>
            </w:r>
          </w:p>
        </w:tc>
      </w:tr>
      <w:tr>
        <w:tc>
          <w:tcPr>
            <w:tcW w:type="dxa" w:w="1008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Phase 4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Operations</w:t>
            </w:r>
          </w:p>
        </w:tc>
        <w:tc>
          <w:tcPr>
            <w:tcW w:type="dxa" w:w="1872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D4ED8"/>
                <w:sz w:val="19"/>
              </w:rPr>
              <w:t>$23,000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Phase 5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Finance &amp; Accounting (+ legacy data migration)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D4ED8"/>
                <w:sz w:val="19"/>
              </w:rPr>
              <w:t>$36,000</w:t>
            </w:r>
          </w:p>
        </w:tc>
      </w:tr>
      <w:tr>
        <w:tc>
          <w:tcPr>
            <w:tcW w:type="dxa" w:w="1008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Phase 6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Content Library (DAM)</w:t>
            </w:r>
          </w:p>
        </w:tc>
        <w:tc>
          <w:tcPr>
            <w:tcW w:type="dxa" w:w="1872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D4ED8"/>
                <w:sz w:val="19"/>
              </w:rPr>
              <w:t>$20,000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Phase 7</w:t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Field Sales RBAC &amp; Mobile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D4ED8"/>
                <w:sz w:val="19"/>
              </w:rPr>
              <w:t>$11,000</w:t>
            </w:r>
          </w:p>
        </w:tc>
      </w:tr>
      <w:tr>
        <w:tc>
          <w:tcPr>
            <w:tcW w:type="dxa" w:w="1008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Phase 8</w:t>
            </w:r>
          </w:p>
        </w:tc>
        <w:tc>
          <w:tcPr>
            <w:tcW w:type="dxa" w:w="6192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Workflows, Reports &amp; Intelligence</w:t>
            </w:r>
          </w:p>
        </w:tc>
        <w:tc>
          <w:tcPr>
            <w:tcW w:type="dxa" w:w="1872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D4ED8"/>
                <w:sz w:val="19"/>
              </w:rPr>
              <w:t>$16,000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0F172A"/>
                <w:sz w:val="19"/>
              </w:rPr>
            </w:r>
          </w:p>
        </w:tc>
        <w:tc>
          <w:tcPr>
            <w:tcW w:type="dxa" w:w="6192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Program Total (Phases 1-8)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D4ED8"/>
                <w:sz w:val="19"/>
              </w:rPr>
              <w:t>$200,000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19"/>
        </w:rPr>
        <w:t>Phase 1 bundles Platform Foundation ($50,000) and Customer &amp; Sales ($21,000). Prepay incentive: pay the $50,000 Foundation fee in full in advance and the Customer &amp; Sales work is discounted from $21,000 to $19,000 — a $2,000 saving, making the Phase 1 bundle $69,000.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4.  Discounts &amp; Net Total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6624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Line</w:t>
            </w:r>
          </w:p>
        </w:tc>
        <w:tc>
          <w:tcPr>
            <w:tcW w:type="dxa" w:w="2448"/>
            <w:shd w:val="clear" w:color="auto" w:fill="1D4ED8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Amount</w:t>
            </w:r>
          </w:p>
        </w:tc>
      </w:tr>
      <w:tr>
        <w:tc>
          <w:tcPr>
            <w:tcW w:type="dxa" w:w="6624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Program list total (Phases 1-8)</w:t>
            </w:r>
          </w:p>
        </w:tc>
        <w:tc>
          <w:tcPr>
            <w:tcW w:type="dxa" w:w="2448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$200,000</w:t>
            </w:r>
          </w:p>
        </w:tc>
      </w:tr>
      <w:tr>
        <w:tc>
          <w:tcPr>
            <w:tcW w:type="dxa" w:w="6624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Less: Discovery fee credited against Phase 1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DC2626"/>
                <w:sz w:val="19"/>
              </w:rPr>
              <w:t>- $5,000</w:t>
            </w:r>
          </w:p>
        </w:tc>
      </w:tr>
      <w:tr>
        <w:tc>
          <w:tcPr>
            <w:tcW w:type="dxa" w:w="6624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Net program total</w:t>
            </w:r>
          </w:p>
        </w:tc>
        <w:tc>
          <w:tcPr>
            <w:tcW w:type="dxa" w:w="2448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D4ED8"/>
                <w:sz w:val="19"/>
              </w:rPr>
              <w:t>$195,000</w:t>
            </w:r>
          </w:p>
        </w:tc>
      </w:tr>
      <w:tr>
        <w:tc>
          <w:tcPr>
            <w:tcW w:type="dxa" w:w="6624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475569"/>
                <w:sz w:val="19"/>
              </w:rPr>
              <w:t>Optional: Foundation prepay incentive</w:t>
            </w:r>
          </w:p>
        </w:tc>
        <w:tc>
          <w:tcPr>
            <w:tcW w:type="dxa" w:w="2448"/>
            <w:shd w:val="clear" w:color="auto" w:fill="FFFFFF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 w:val="0"/>
                <w:i w:val="0"/>
                <w:color w:val="DC2626"/>
                <w:sz w:val="19"/>
              </w:rPr>
              <w:t>- $2,000</w:t>
            </w:r>
          </w:p>
        </w:tc>
      </w:tr>
      <w:tr>
        <w:tc>
          <w:tcPr>
            <w:tcW w:type="dxa" w:w="6624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Net with Foundation prepay</w:t>
            </w:r>
          </w:p>
        </w:tc>
        <w:tc>
          <w:tcPr>
            <w:tcW w:type="dxa" w:w="2448"/>
            <w:shd w:val="clear" w:color="auto" w:fill="F1F5F9"/>
            <w:vAlign w:val="center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D4ED8"/>
                <w:sz w:val="19"/>
              </w:rPr>
              <w:t>$193,000</w:t>
            </w:r>
          </w:p>
        </w:tc>
      </w:tr>
    </w:tbl>
    <w:p>
      <w:pPr>
        <w:spacing w:after="80"/>
      </w:pP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5.  Phase Scope Detail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4"/>
        </w:rPr>
        <w:t>Phase 1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0"/>
        </w:rPr>
        <w:t>Platform Foundation + Customer &amp; Sales (bundled): auth, RBAC (6 roles), user mgmt, system config, role dashboards, audit log, notifications, full platform infrastructure (single-tenant, design system, CI/CD, encryption, secure SDLC) + security-documentation deliverable; Business-Partner master, account groups, contacts, activity log, quotes/estimates, sales orders, delivery, AR invoice, incoming payment (quote-to-cash).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4"/>
        </w:rPr>
        <w:t>Phase 3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0"/>
        </w:rPr>
        <w:t>Web Store (Native B2B): storefront, catalog, account-group pricing, order management, Web→Sales-Order automation, approval rules, status sync. (Conditional — replaced by a smaller integration scope if the existing eCommerce platform is retained.)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4"/>
        </w:rPr>
        <w:t>Phase 4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0"/>
        </w:rPr>
        <w:t>Operations: job creation from Sales Order, production queue, status tracking, artwork attachment, item master, stock, inventory publishing, Quality Management, Equipment Maintenance.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4"/>
        </w:rPr>
        <w:t>Phase 5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0"/>
        </w:rPr>
        <w:t>Finance &amp; Accounting: chart of accounts, AR, AP, bank reconciliation, journal entries, tax, cost centers, budgets, P&amp;L by segment, fixed assets, depreciation, and complete legacy-ERP data migration (legacy system decommissioned).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4"/>
        </w:rPr>
        <w:t>Phase 6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0"/>
        </w:rPr>
        <w:t>Content Library (Digital Asset Management): asset upload, LLM-powered auto-tagging &amp; descriptions, natural-language + visual-similarity search, collections, usage rights/history, job linking, thumbnails.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4"/>
        </w:rPr>
        <w:t>Phase 7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0"/>
        </w:rPr>
        <w:t>Field Sales RBAC &amp; Mobile: field-sales role dashboards, mobile-responsive order upload, client artwork upload, sales-manager oversight.</w:t>
      </w:r>
    </w:p>
    <w:p>
      <w:pPr>
        <w:keepNext/>
        <w:spacing w:before="360" w:after="160"/>
      </w:pPr>
      <w:r>
        <w:rPr>
          <w:rFonts w:ascii="Calibri" w:hAnsi="Calibri"/>
          <w:b/>
          <w:color w:val="0F172A"/>
          <w:sz w:val="24"/>
        </w:rPr>
        <w:t>Phase 8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0"/>
        </w:rPr>
        <w:t>Workflows, Reports &amp; Intelligence: approval rules engine, sales/production/financial dashboards, asset reports, CSV/PDF export.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6.  Payment Terms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Phase 0 (Discovery): $5,000 due at project start; credited against Phase 1 on award of the Foundation build.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Build phases: 50% at phase kickoff, 50% at phase acceptance. Phase 1's kickoff invoice is reduced by the $5,000 Discovery credit.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Foundation prepay incentive: pay the $50,000 Foundation fee in full in advance and Customer &amp; Sales is discounted from $21,000 to $19,000 (a $2,000 saving).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Phases are funded one at a time; Great Mountain West is not obligated beyond a confirmed phase. The $200,000 program cap is fixed.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Phase 3 (Web Store) is conditional — if the existing eCommerce platform is retained and integrated instead, this phase is dropped and a smaller integration scope is quoted separately.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Out-of-scope change requests are quoted separately before work begins and fall outside the $200,000 budget.</w:t>
      </w:r>
    </w:p>
    <w:p>
      <w:pPr>
        <w:pStyle w:val="ListBullet"/>
        <w:spacing w:after="60" w:before="0"/>
        <w:ind w:left="360"/>
      </w:pPr>
      <w:r>
        <w:rPr>
          <w:rFonts w:ascii="Calibri" w:hAnsi="Calibri"/>
          <w:b w:val="0"/>
          <w:i w:val="0"/>
          <w:color w:val="475569"/>
          <w:sz w:val="21"/>
        </w:rPr>
        <w:t>Third-party costs (hosting, LLM API usage, payment processing, domain/SSL) billed at cost.</w:t>
      </w:r>
    </w:p>
    <w:p>
      <w:pPr>
        <w:keepNext/>
        <w:spacing w:before="360" w:after="160"/>
        <w:pBdr>
          <w:bottom w:val="single" w:sz="6" w:color="1D4ED8"/>
        </w:pBdr>
      </w:pPr>
      <w:r>
        <w:rPr>
          <w:rFonts w:ascii="Calibri" w:hAnsi="Calibri"/>
          <w:b/>
          <w:color w:val="0F172A"/>
          <w:sz w:val="36"/>
        </w:rPr>
        <w:t>7.  Basis of Estimate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475569"/>
          <w:sz w:val="21"/>
        </w:rPr>
        <w:t>This is a good-faith forecast estimate based on the current requirements, wireframes, and data model. Each phase fee firms up at kickoff against that phase's finalized requirements; the $200,000 figure is a fixed program cap, not a guaranteed total for full SAP B1 parity (estimated separately at $335,000-$495,000 to build to depth). Material scope changes are documented in writing and priced before the affected work begins.</w:t>
      </w:r>
    </w:p>
    <w:p/>
    <w:p>
      <w:pPr>
        <w:spacing w:before="80" w:after="80"/>
        <w:pBdr>
          <w:bottom w:val="single" w:sz="4" w:color="E2E8F0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536"/>
            <w:shd w:val="clear" w:color="auto" w:fill="F1F5F9"/>
          </w:tcPr>
          <w:p>
            <w:pPr>
              <w:spacing w:before="160"/>
            </w:pPr>
            <w:r>
              <w:rPr>
                <w:rFonts w:ascii="Calibri" w:hAnsi="Calibri"/>
                <w:b/>
                <w:i w:val="0"/>
                <w:color w:val="0F172A"/>
                <w:sz w:val="22"/>
              </w:rPr>
              <w:t>Great Mountain West</w:t>
            </w:r>
          </w:p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br/>
            </w:r>
          </w:p>
          <w:p>
            <w:pPr>
              <w:spacing w:before="60" w:after="60"/>
            </w:pPr>
          </w:p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br/>
              <w:br/>
              <w:t>Signature: ___________________________</w:t>
            </w:r>
          </w:p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br/>
              <w:t>Printed Name: ___________________________</w:t>
            </w:r>
          </w:p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br/>
              <w:t>Date: ___________________________</w:t>
            </w:r>
          </w:p>
        </w:tc>
        <w:tc>
          <w:tcPr>
            <w:tcW w:type="dxa" w:w="4536"/>
            <w:shd w:val="clear" w:color="auto" w:fill="F1F5F9"/>
          </w:tcPr>
          <w:p>
            <w:pPr>
              <w:spacing w:before="160"/>
            </w:pPr>
            <w:r>
              <w:rPr>
                <w:rFonts w:ascii="Calibri" w:hAnsi="Calibri"/>
                <w:b/>
                <w:i w:val="0"/>
                <w:color w:val="0F172A"/>
                <w:sz w:val="22"/>
              </w:rPr>
              <w:t>Christopher Wall</w:t>
            </w:r>
          </w:p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br/>
              <w:t>Christopher Wall</w:t>
            </w:r>
          </w:p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t>Principal Developer</w:t>
            </w:r>
          </w:p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br/>
              <w:br/>
              <w:t>Signature: ___________________________</w:t>
            </w:r>
          </w:p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br/>
              <w:t>Printed Name: ___________________________</w:t>
            </w:r>
          </w:p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475569"/>
                <w:sz w:val="20"/>
              </w:rPr>
              <w:br/>
              <w:t>Date: ___________________________</w:t>
            </w:r>
          </w:p>
        </w:tc>
      </w:tr>
    </w:tbl>
    <w:p/>
    <w:p>
      <w:pPr>
        <w:spacing w:before="80" w:after="80"/>
        <w:pBdr>
          <w:bottom w:val="single" w:sz="4" w:color="E2E8F0"/>
        </w:pBdr>
      </w:pPr>
    </w:p>
    <w:p>
      <w:pPr>
        <w:jc w:val="center"/>
      </w:pPr>
      <w:r>
        <w:rPr>
          <w:rFonts w:ascii="Calibri" w:hAnsi="Calibri"/>
          <w:b w:val="0"/>
          <w:i/>
          <w:color w:val="475569"/>
          <w:sz w:val="17"/>
        </w:rPr>
        <w:t>This quotation is confidential and intended solely for the use of Great Mountain West and Christopher Wall. Unauthorized distribution is prohibited.</w:t>
      </w:r>
    </w:p>
    <w:sectPr w:rsidR="00FC693F" w:rsidRPr="0006063C" w:rsidSect="00034616">
      <w:footerReference w:type="default" r:id="rId9"/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475569"/>
        <w:sz w:val="16"/>
      </w:rPr>
      <w:t xml:space="preserve">Confidential — Great Mountain West / Christopher Wall   |   Page </w:t>
    </w:r>
    <w:r>
      <w:rPr>
        <w:rFonts w:ascii="Calibri" w:hAnsi="Calibri"/>
        <w:b w:val="0"/>
        <w:i w:val="0"/>
        <w:color w:val="475569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