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9072"/>
            <w:shd w:val="clear" w:color="auto" w:fill="1D4ED8"/>
          </w:tcPr>
          <w:p>
            <w:pPr>
              <w:spacing w:before="200" w:after="20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MAKEREADY BY G54  —  DELIVERY DOCUMENTATION</w:t>
            </w:r>
          </w:p>
        </w:tc>
      </w:tr>
    </w:tbl>
    <w:p>
      <w:pPr>
        <w:spacing w:after="40"/>
      </w:pPr>
    </w:p>
    <w:p>
      <w:pPr>
        <w:spacing w:before="360" w:after="80"/>
      </w:pPr>
      <w:r>
        <w:rPr>
          <w:rFonts w:ascii="Calibri" w:hAnsi="Calibri"/>
          <w:b/>
          <w:i w:val="0"/>
          <w:color w:val="0F172A"/>
          <w:sz w:val="50"/>
        </w:rPr>
        <w:t>Work Completed - Checklist</w:t>
      </w:r>
    </w:p>
    <w:p>
      <w:pPr>
        <w:spacing w:after="40"/>
      </w:pPr>
      <w:r>
        <w:rPr>
          <w:rFonts w:ascii="Calibri" w:hAnsi="Calibri"/>
          <w:b w:val="0"/>
          <w:i/>
          <w:color w:val="475569"/>
          <w:sz w:val="25"/>
        </w:rPr>
        <w:t>Delivered capabilities across the MakeReady platform</w:t>
      </w:r>
    </w:p>
    <w:p>
      <w:pPr>
        <w:spacing w:before="80" w:after="80"/>
        <w:pBdr>
          <w:bottom w:val="single" w:sz="4" w:color="E2E8F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2448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Client</w:t>
            </w:r>
          </w:p>
        </w:tc>
        <w:tc>
          <w:tcPr>
            <w:tcW w:type="dxa" w:w="6624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Great Mountain West (g54.com)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Prepared by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Christopher Wall</w:t>
            </w:r>
          </w:p>
        </w:tc>
      </w:tr>
      <w:tr>
        <w:tc>
          <w:tcPr>
            <w:tcW w:type="dxa" w:w="2448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Date</w:t>
            </w:r>
          </w:p>
        </w:tc>
        <w:tc>
          <w:tcPr>
            <w:tcW w:type="dxa" w:w="6624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July 27, 2026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The items below are built and deployed to production (makeready.g54.com). Pending items the team has agreed to complete are listed at the end.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Platform Foundation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Cloud-hosted Next.js platform (App Router, TypeScript, Tailwind, Drizzle ORM, Neon Postgres) on Vercel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Single-tenant architecture, America/Denver time display, live at makeready.g54.com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Collapsible sidebar navigation with role-based module visibility and contextual Help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Access &amp; Identity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Email/password sign-in with bcrypt hashing and password policy (min 10, upper/lower/number)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Account lockout after 5 failed attempts (15-min auto-clear) with admin alert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Multi-factor authentication: TOTP authenticator, FIDO2/WebAuthn passkeys, single-use recovery codes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Org-wide require-MFA policy ENABLED - every user must enroll a second factor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Rate limiting on sign-in, password-reset, and MFA verification (per IP, and per user for MFA codes)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Single active session per user; forced password reset; self-service forgot-password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Role-based access control (6 roles, module x access matrix); record-level scoping for reps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User management, system configuration, document number series, and an append-only audit log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CRM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Business Partner master (accounts, leads, prospects) with contacts, addresses, tags, account groups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Immutable activity log and CRM tasks; finance fields hidden from sales reps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Order history by customer on the account page (per-order stage/value + lifetime totals, sourced live from the database)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List view with search, stage/owner/group/location filters, sortable columns, and pagination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Pipeline board with drag-and-drop between Lead / Prospect / Customer and true per-column counts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New Business Partner form with a two-option Payment terms dropdown (Net 30 / Prepay)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Secure financial intake documents (terms + credit-card application) via token link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Public web-lead capture form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SAP B1 customer migration: 7,109 business partners, 9,909 contacts, 14,146 addresses imported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Sales - Quoting &amp; Pricing Calculator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Configurable order-form templates (Template Builder) driving one Quote Builder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Charge rules: flat / per-unit / per-color / per-hour / percent, with new vs reorder conditions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Quantity price-break bands (e.g. caps 72/144/288/432/576) - auto-priced by order quantity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Per-size upcharges (e.g. 2XL +$2, 3XL +$3) and minimum-order-quantity warnings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Catalogue images per item, carried onto the order on conversion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Server-authoritative pricing; quote statuses; typeahead customer picker; email quote; delete drafts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Real seeded pricing from the SharePoint order forms (Caps, Baja, Softgoods, Wood)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Sales - Orders &amp; Fulfillment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Convert accepted quote to a trackable order (SO number + public tracking token)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Production spec items and customer artwork/reference attachments captured at quote intake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Order email to customer includes the order PDF plus a preview image of the item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Public, login-free order tracker (Domino's-style) with live stage updates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Void order with required reason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Art Department &amp; Proofing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Submit-to-art hand-off from the order (creates an art request, notifies the art team)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Art board with Queue and drag-and-drop Kanban (To do -&gt; In progress -&gt; Proofing -&gt; Revisions -&gt; Approved -&gt; Done)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Assignment, rush flags, due dates; art request detail with spec + all images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Art team can open/download the customer's original files to edit and upload proposed art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Send a proof to the customer; proof appears on the customer's tracking link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Customer approves / requests changes / declines / requests a meeting - signed, timestamped, IP-stamped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Production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Send-to-production hand-off from the order; production job auto-created and team notified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Production board with Queue and drag-and-drop Kanban (Queued -&gt; In production -&gt; Quality check -&gt; Ready to ship -&gt; Shipped)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Operator assignment, rush/due; job detail with production spec and artwork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Job status syncs the customer-facing order tracker stage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Inventory &amp; Bin Management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Item master (SKU, category, unit, supplier, cost, on-hand, reorder point) with search, low-stock flags, pagination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Stock ledger: receive / consume / count / adjust with full movement history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Warehouses and bins; per-bin stock as the source of truth (on-hand = sum of bins)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Receive/consume/count/adjust at a specific bin, and transfer stock between bins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Warehouses &amp; bins admin; item detail shows stock-by-bin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SAP B1 inventory reverse-engineered and seeded: 6,219 stocked items, 46 categories, 4 warehouses, 91 bins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Reports &amp; Analytics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Executive dashboard: headline KPIs, value-labeled charts on dense data, written breakdowns, low-stock table, CSV export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Crystal Reports-style custom report builder over 6 data sources (BPs, quotes, orders, inventory, production jobs, stock movements)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Column picker, safe parameterized filters, group-by with per-group subtotals and grand totals, live preview, saved reports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Export to CSV or formatted PDF (large grouped reports summarized to stay fast); role-gated to Admin / Sales Manager / Finance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Scheduled email delivery (daily / weekly / monthly, CSV or PDF) via the verified g54.com domain, run by a daily scheduler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Seeded recommended reports &amp; KPI scorecards (pipeline, open/won quotes, open orders, production WIP, inventory valuation, receipts)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Scheduling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Calendly-style meeting types, per-user availability, and public booking pages (/schedule/[slug])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Team calendar (month grid), meeting detail, reschedule, and CRM-linked bookings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Sales Automation &amp; Nurturing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Drip-campaign engine (timed steps: create task / notify owner / email customer) with a daily scheduler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7 lifecycle nurturing campaigns + missed-meeting recovery seeded from the Field Sales Nurturing Playbook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Automation emails resolve the rep's self-serve booking link; personalization-needed emails become rep tasks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Automatic trigger detection auto-enrolls accounts into the four priority campaigns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Help &amp; Enablement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In-app Help Center: 34+ how-to articles across Getting Started, Account &amp; Security, CRM, Sales, Art &amp; Production, Inventory, Reports &amp; Analytics, Scheduling, Admin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Embedded screenshots auto-captured from the live app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Sales-rep quoting training guide (order forms -&gt; Quote Builder) and Zoey API setup handout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Performance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Database queries routed over HTTP (no per-query websocket handshake) for lower latency app-wide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Paginated CRM and inventory lists; capped, count-backed pipeline board; parallelized dashboard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Trigram + btree search/filter indexes; trimmed large payloads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Security Hardening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Strict Content-Security-Policy with per-request nonce; HSTS (preload); anti-framing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nosniff, Referrer-Policy, Permissions-Policy, Cross-Origin-Opener-Policy; x-powered-by removed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Application rate limiting (Postgres-backed fixed window) on sign-in, password-reset, and MFA verification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Vercel WAF rate-limiting rule on the sign-in and password-reset routes (per-IP, deny on exceed)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Nightly AES-256-encrypted database backup stored offsite (GitHub Actions), 30-day retention, integrity-checked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Security posture documented for the SOC 2 / PCI audit trail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Pending / Agreed Next (security follow-ups)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475569"/>
          <w:sz w:val="22"/>
        </w:rPr>
        <w:t xml:space="preserve">☐  </w:t>
      </w:r>
      <w:r>
        <w:rPr>
          <w:rFonts w:ascii="Calibri" w:hAnsi="Calibri"/>
          <w:b w:val="0"/>
          <w:i w:val="0"/>
          <w:color w:val="475569"/>
          <w:sz w:val="21"/>
        </w:rPr>
        <w:t>Verify Neon point-in-time-restore retention is at plan maximum (requires interactive Neon login)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475569"/>
          <w:sz w:val="22"/>
        </w:rPr>
        <w:t xml:space="preserve">☐  </w:t>
      </w:r>
      <w:r>
        <w:rPr>
          <w:rFonts w:ascii="Calibri" w:hAnsi="Calibri"/>
          <w:b w:val="0"/>
          <w:i w:val="0"/>
          <w:color w:val="475569"/>
          <w:sz w:val="21"/>
        </w:rPr>
        <w:t>Optional: mirror encrypted backups to S3/R2 for retention beyond 30 days; periodic restore drills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475569"/>
          <w:sz w:val="22"/>
        </w:rPr>
        <w:t xml:space="preserve">☐  </w:t>
      </w:r>
      <w:r>
        <w:rPr>
          <w:rFonts w:ascii="Calibri" w:hAnsi="Calibri"/>
          <w:b w:val="0"/>
          <w:i w:val="0"/>
          <w:color w:val="475569"/>
          <w:sz w:val="21"/>
        </w:rPr>
        <w:t>Optional: extend WAF rate-limiting to public token routes (/track, /proof, /apply, /schedule)</w:t>
      </w:r>
    </w:p>
    <w:p/>
    <w:p>
      <w:pPr>
        <w:spacing w:before="80" w:after="80"/>
        <w:pBdr>
          <w:bottom w:val="single" w:sz="4" w:color="E2E8F0"/>
        </w:pBdr>
      </w:pPr>
    </w:p>
    <w:p>
      <w:pPr>
        <w:jc w:val="center"/>
      </w:pPr>
      <w:r>
        <w:rPr>
          <w:rFonts w:ascii="Calibri" w:hAnsi="Calibri"/>
          <w:b w:val="0"/>
          <w:i/>
          <w:color w:val="475569"/>
          <w:sz w:val="17"/>
        </w:rPr>
        <w:t>Confidential - Great Mountain West / Christopher Wall</w:t>
      </w:r>
    </w:p>
    <w:sectPr w:rsidR="00FC693F" w:rsidRPr="0006063C" w:rsidSect="00034616">
      <w:footerReference w:type="default" r:id="rId9"/>
      <w:pgSz w:w="12240" w:h="15840"/>
      <w:pgMar w:top="1440" w:right="1656" w:bottom="1440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475569"/>
        <w:sz w:val="16"/>
      </w:rPr>
      <w:t xml:space="preserve">Confidential — Great Mountain West / Christopher Wall   |   Page </w:t>
    </w:r>
    <w:r>
      <w:rPr>
        <w:rFonts w:ascii="Calibri" w:hAnsi="Calibri"/>
        <w:b w:val="0"/>
        <w:i w:val="0"/>
        <w:color w:val="475569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