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6CBD" w:rsidRDefault="005E456A">
      <w:pPr>
        <w:pStyle w:val="Heading1"/>
        <w:spacing w:line="249" w:lineRule="auto"/>
      </w:pPr>
      <w:r>
        <w:t>Supply</w:t>
      </w:r>
      <w:r>
        <w:rPr>
          <w:spacing w:val="-6"/>
        </w:rPr>
        <w:t xml:space="preserve"> </w:t>
      </w:r>
      <w:r>
        <w:t>Chain</w:t>
      </w:r>
      <w:r>
        <w:rPr>
          <w:spacing w:val="-6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Assessment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Mitigation</w:t>
      </w:r>
      <w:r>
        <w:rPr>
          <w:spacing w:val="-6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– Pharmaceutical Industry</w:t>
      </w:r>
    </w:p>
    <w:p w:rsidR="00B46CBD" w:rsidRDefault="00B46CBD">
      <w:pPr>
        <w:pStyle w:val="BodyText"/>
        <w:spacing w:before="290"/>
        <w:rPr>
          <w:rFonts w:ascii="Arial"/>
          <w:b/>
          <w:sz w:val="40"/>
        </w:rPr>
      </w:pPr>
    </w:p>
    <w:p w:rsidR="00B46CBD" w:rsidRDefault="005E456A">
      <w:pPr>
        <w:pStyle w:val="BodyText"/>
        <w:spacing w:line="249" w:lineRule="auto"/>
        <w:ind w:left="200" w:right="779"/>
      </w:pPr>
      <w:r>
        <w:t>This report presents a detailed supply chain risk assessment focused on the pharmaceutical industry. The pharmaceutical</w:t>
      </w:r>
      <w:r>
        <w:rPr>
          <w:spacing w:val="-3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t>chain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highly</w:t>
      </w:r>
      <w:r>
        <w:rPr>
          <w:spacing w:val="-3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vulnerable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disruptions</w:t>
      </w:r>
      <w:r>
        <w:rPr>
          <w:spacing w:val="-3"/>
        </w:rPr>
        <w:t xml:space="preserve"> </w:t>
      </w:r>
      <w:r>
        <w:t>caused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events,</w:t>
      </w:r>
      <w:r>
        <w:rPr>
          <w:spacing w:val="-3"/>
        </w:rPr>
        <w:t xml:space="preserve"> </w:t>
      </w:r>
      <w:r>
        <w:t>supplier</w:t>
      </w:r>
      <w:r>
        <w:rPr>
          <w:spacing w:val="-3"/>
        </w:rPr>
        <w:t xml:space="preserve"> </w:t>
      </w:r>
      <w:r>
        <w:t>issues, cybersecurity threats, transportation delays, and regulatory changes. The report identifies major risk categories, assesses their potential impact and likelihood, and proposes mitigation strategies to i</w:t>
      </w:r>
      <w:r>
        <w:t>mprove supply chain resilience.</w:t>
      </w:r>
    </w:p>
    <w:p w:rsidR="00B46CBD" w:rsidRDefault="00B46CBD">
      <w:pPr>
        <w:pStyle w:val="BodyText"/>
      </w:pPr>
    </w:p>
    <w:p w:rsidR="00B46CBD" w:rsidRDefault="00B46CBD">
      <w:pPr>
        <w:pStyle w:val="BodyText"/>
        <w:spacing w:before="29"/>
      </w:pPr>
    </w:p>
    <w:p w:rsidR="00B46CBD" w:rsidRDefault="005E456A">
      <w:pPr>
        <w:pStyle w:val="Heading2"/>
        <w:numPr>
          <w:ilvl w:val="0"/>
          <w:numId w:val="1"/>
        </w:numPr>
        <w:tabs>
          <w:tab w:val="left" w:pos="511"/>
        </w:tabs>
        <w:ind w:hanging="311"/>
      </w:pPr>
      <w:r>
        <w:t xml:space="preserve">Common Supply Chain Risk </w:t>
      </w:r>
      <w:r>
        <w:rPr>
          <w:spacing w:val="-2"/>
        </w:rPr>
        <w:t>Categories</w:t>
      </w:r>
    </w:p>
    <w:p w:rsidR="00B46CBD" w:rsidRDefault="00B46CBD">
      <w:pPr>
        <w:pStyle w:val="BodyText"/>
        <w:rPr>
          <w:rFonts w:ascii="Arial"/>
          <w:b/>
        </w:rPr>
      </w:pPr>
    </w:p>
    <w:p w:rsidR="00B46CBD" w:rsidRDefault="00B46CBD">
      <w:pPr>
        <w:pStyle w:val="BodyText"/>
        <w:spacing w:before="159"/>
        <w:rPr>
          <w:rFonts w:ascii="Arial"/>
          <w:b/>
        </w:rPr>
      </w:pPr>
    </w:p>
    <w:p w:rsidR="00B46CBD" w:rsidRDefault="00B25F69">
      <w:pPr>
        <w:pStyle w:val="BodyText"/>
        <w:rPr>
          <w:rFonts w:ascii="Arial"/>
          <w:b/>
        </w:rPr>
        <w:sectPr w:rsidR="00B46CBD">
          <w:type w:val="continuous"/>
          <w:pgSz w:w="12240" w:h="15840"/>
          <w:pgMar w:top="880" w:right="0" w:bottom="280" w:left="72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1774CE4" wp14:editId="38CDA517">
                <wp:simplePos x="0" y="0"/>
                <wp:positionH relativeFrom="page">
                  <wp:posOffset>668655</wp:posOffset>
                </wp:positionH>
                <wp:positionV relativeFrom="paragraph">
                  <wp:posOffset>-263525</wp:posOffset>
                </wp:positionV>
                <wp:extent cx="7048500" cy="2599267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00" cy="259926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600"/>
                              <w:gridCol w:w="6400"/>
                            </w:tblGrid>
                            <w:tr w:rsidR="00B25F69">
                              <w:trPr>
                                <w:trHeight w:val="480"/>
                              </w:trPr>
                              <w:tc>
                                <w:tcPr>
                                  <w:tcW w:w="3600" w:type="dxa"/>
                                  <w:shd w:val="clear" w:color="auto" w:fill="ACD8E6"/>
                                </w:tcPr>
                                <w:p w:rsidR="00B25F69" w:rsidRDefault="00B25F69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 xml:space="preserve">Risk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Category</w:t>
                                  </w:r>
                                </w:p>
                              </w:tc>
                              <w:tc>
                                <w:tcPr>
                                  <w:tcW w:w="6400" w:type="dxa"/>
                                  <w:shd w:val="clear" w:color="auto" w:fill="ACD8E6"/>
                                </w:tcPr>
                                <w:p w:rsidR="00B25F69" w:rsidRDefault="00B25F69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B25F69">
                              <w:trPr>
                                <w:trHeight w:val="340"/>
                              </w:trPr>
                              <w:tc>
                                <w:tcPr>
                                  <w:tcW w:w="3600" w:type="dxa"/>
                                </w:tcPr>
                                <w:p w:rsidR="00B25F69" w:rsidRDefault="00B25F6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Geopolitical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Risks</w:t>
                                  </w:r>
                                </w:p>
                              </w:tc>
                              <w:tc>
                                <w:tcPr>
                                  <w:tcW w:w="6400" w:type="dxa"/>
                                </w:tcPr>
                                <w:p w:rsidR="00B25F69" w:rsidRDefault="00B25F69">
                                  <w:pPr>
                                    <w:pStyle w:val="TableParagraph"/>
                                    <w:ind w:right="-87"/>
                                    <w:rPr>
                                      <w:sz w:val="20"/>
                                    </w:rPr>
                                  </w:pPr>
                                  <w:r>
                                    <w:t>Trade restrictions, sanctions, wars, and political instability affecting sourcing and logistics.</w:t>
                                  </w:r>
                                </w:p>
                              </w:tc>
                            </w:tr>
                            <w:tr w:rsidR="00B25F69">
                              <w:trPr>
                                <w:trHeight w:val="340"/>
                              </w:trPr>
                              <w:tc>
                                <w:tcPr>
                                  <w:tcW w:w="3600" w:type="dxa"/>
                                </w:tcPr>
                                <w:p w:rsidR="00B25F69" w:rsidRDefault="00B25F6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Natural Disaster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Risks</w:t>
                                  </w:r>
                                </w:p>
                              </w:tc>
                              <w:tc>
                                <w:tcPr>
                                  <w:tcW w:w="6400" w:type="dxa"/>
                                </w:tcPr>
                                <w:p w:rsidR="00B25F69" w:rsidRDefault="00B25F69">
                                  <w:pPr>
                                    <w:pStyle w:val="TableParagraph"/>
                                    <w:ind w:right="-101"/>
                                    <w:rPr>
                                      <w:sz w:val="20"/>
                                    </w:rPr>
                                  </w:pPr>
                                  <w:r>
                                    <w:t>Floods, earthquakes, pandemics, and extreme weather disrupting manufacturing and transport.</w:t>
                                  </w:r>
                                </w:p>
                              </w:tc>
                            </w:tr>
                            <w:tr w:rsidR="00B25F69">
                              <w:trPr>
                                <w:trHeight w:val="340"/>
                              </w:trPr>
                              <w:tc>
                                <w:tcPr>
                                  <w:tcW w:w="3600" w:type="dxa"/>
                                </w:tcPr>
                                <w:p w:rsidR="00B25F69" w:rsidRDefault="00B25F6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Supplier Failure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Risks</w:t>
                                  </w:r>
                                </w:p>
                              </w:tc>
                              <w:tc>
                                <w:tcPr>
                                  <w:tcW w:w="6400" w:type="dxa"/>
                                </w:tcPr>
                                <w:p w:rsidR="00B25F69" w:rsidRDefault="00B25F69">
                                  <w:pPr>
                                    <w:pStyle w:val="TableParagraph"/>
                                    <w:ind w:right="-58"/>
                                    <w:rPr>
                                      <w:sz w:val="20"/>
                                    </w:rPr>
                                  </w:pPr>
                                  <w:r>
                                    <w:t>Supplier bankruptcy, production failure, or quality issues causing shortages.</w:t>
                                  </w:r>
                                </w:p>
                              </w:tc>
                            </w:tr>
                            <w:tr w:rsidR="00B25F69">
                              <w:trPr>
                                <w:trHeight w:val="340"/>
                              </w:trPr>
                              <w:tc>
                                <w:tcPr>
                                  <w:tcW w:w="3600" w:type="dxa"/>
                                </w:tcPr>
                                <w:p w:rsidR="00B25F69" w:rsidRDefault="00B25F6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Demand Volatility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Risks</w:t>
                                  </w:r>
                                </w:p>
                              </w:tc>
                              <w:tc>
                                <w:tcPr>
                                  <w:tcW w:w="6400" w:type="dxa"/>
                                </w:tcPr>
                                <w:p w:rsidR="00B25F69" w:rsidRDefault="00B25F69">
                                  <w:pPr>
                                    <w:pStyle w:val="TableParagraph"/>
                                    <w:ind w:right="-101"/>
                                    <w:rPr>
                                      <w:sz w:val="20"/>
                                    </w:rPr>
                                  </w:pPr>
                                  <w:r>
                                    <w:t>Unexpected changes in customer demand leading to overstocking or shortages.</w:t>
                                  </w:r>
                                </w:p>
                              </w:tc>
                            </w:tr>
                            <w:tr w:rsidR="00B25F69">
                              <w:trPr>
                                <w:trHeight w:val="340"/>
                              </w:trPr>
                              <w:tc>
                                <w:tcPr>
                                  <w:tcW w:w="3600" w:type="dxa"/>
                                </w:tcPr>
                                <w:p w:rsidR="00B25F69" w:rsidRDefault="00B25F69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Cybersecurity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Risks</w:t>
                                  </w:r>
                                </w:p>
                              </w:tc>
                              <w:tc>
                                <w:tcPr>
                                  <w:tcW w:w="6400" w:type="dxa"/>
                                </w:tcPr>
                                <w:p w:rsidR="00B25F69" w:rsidRDefault="00B25F69">
                                  <w:pPr>
                                    <w:pStyle w:val="TableParagraph"/>
                                    <w:ind w:right="-144"/>
                                    <w:rPr>
                                      <w:sz w:val="20"/>
                                    </w:rPr>
                                  </w:pPr>
                                  <w:r>
                                    <w:t>Cyberattacks targeting logistics systems, operational technology, or company data.</w:t>
                                  </w:r>
                                </w:p>
                              </w:tc>
                            </w:tr>
                          </w:tbl>
                          <w:p w:rsidR="00B25F69" w:rsidRDefault="00B25F69" w:rsidP="00B25F6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774CE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2.65pt;margin-top:-20.75pt;width:555pt;height:204.6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600"/>
                        <w:gridCol w:w="6400"/>
                      </w:tblGrid>
                      <w:tr w:rsidR="00B25F69">
                        <w:trPr>
                          <w:trHeight w:val="480"/>
                        </w:trPr>
                        <w:tc>
                          <w:tcPr>
                            <w:tcW w:w="3600" w:type="dxa"/>
                            <w:shd w:val="clear" w:color="auto" w:fill="ACD8E6"/>
                          </w:tcPr>
                          <w:p w:rsidR="00B25F69" w:rsidRDefault="00B25F69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 xml:space="preserve">Risk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Category</w:t>
                            </w:r>
                          </w:p>
                        </w:tc>
                        <w:tc>
                          <w:tcPr>
                            <w:tcW w:w="6400" w:type="dxa"/>
                            <w:shd w:val="clear" w:color="auto" w:fill="ACD8E6"/>
                          </w:tcPr>
                          <w:p w:rsidR="00B25F69" w:rsidRDefault="00B25F69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</w:tr>
                      <w:tr w:rsidR="00B25F69">
                        <w:trPr>
                          <w:trHeight w:val="340"/>
                        </w:trPr>
                        <w:tc>
                          <w:tcPr>
                            <w:tcW w:w="3600" w:type="dxa"/>
                          </w:tcPr>
                          <w:p w:rsidR="00B25F69" w:rsidRDefault="00B25F6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Geopolitical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Risks</w:t>
                            </w:r>
                          </w:p>
                        </w:tc>
                        <w:tc>
                          <w:tcPr>
                            <w:tcW w:w="6400" w:type="dxa"/>
                          </w:tcPr>
                          <w:p w:rsidR="00B25F69" w:rsidRDefault="00B25F69">
                            <w:pPr>
                              <w:pStyle w:val="TableParagraph"/>
                              <w:ind w:right="-87"/>
                              <w:rPr>
                                <w:sz w:val="20"/>
                              </w:rPr>
                            </w:pPr>
                            <w:r>
                              <w:t>Trade restrictions, sanctions, wars, and political instability affecting sourcing and logistics.</w:t>
                            </w:r>
                          </w:p>
                        </w:tc>
                      </w:tr>
                      <w:tr w:rsidR="00B25F69">
                        <w:trPr>
                          <w:trHeight w:val="340"/>
                        </w:trPr>
                        <w:tc>
                          <w:tcPr>
                            <w:tcW w:w="3600" w:type="dxa"/>
                          </w:tcPr>
                          <w:p w:rsidR="00B25F69" w:rsidRDefault="00B25F6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Natural Disaster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Risks</w:t>
                            </w:r>
                          </w:p>
                        </w:tc>
                        <w:tc>
                          <w:tcPr>
                            <w:tcW w:w="6400" w:type="dxa"/>
                          </w:tcPr>
                          <w:p w:rsidR="00B25F69" w:rsidRDefault="00B25F69">
                            <w:pPr>
                              <w:pStyle w:val="TableParagraph"/>
                              <w:ind w:right="-101"/>
                              <w:rPr>
                                <w:sz w:val="20"/>
                              </w:rPr>
                            </w:pPr>
                            <w:r>
                              <w:t>Floods, earthquakes, pandemics, and extreme weather disrupting manufacturing and transport.</w:t>
                            </w:r>
                          </w:p>
                        </w:tc>
                      </w:tr>
                      <w:tr w:rsidR="00B25F69">
                        <w:trPr>
                          <w:trHeight w:val="340"/>
                        </w:trPr>
                        <w:tc>
                          <w:tcPr>
                            <w:tcW w:w="3600" w:type="dxa"/>
                          </w:tcPr>
                          <w:p w:rsidR="00B25F69" w:rsidRDefault="00B25F6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Supplier Failure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Risks</w:t>
                            </w:r>
                          </w:p>
                        </w:tc>
                        <w:tc>
                          <w:tcPr>
                            <w:tcW w:w="6400" w:type="dxa"/>
                          </w:tcPr>
                          <w:p w:rsidR="00B25F69" w:rsidRDefault="00B25F69">
                            <w:pPr>
                              <w:pStyle w:val="TableParagraph"/>
                              <w:ind w:right="-58"/>
                              <w:rPr>
                                <w:sz w:val="20"/>
                              </w:rPr>
                            </w:pPr>
                            <w:r>
                              <w:t>Supplier bankruptcy, production failure, or quality issues causing shortages.</w:t>
                            </w:r>
                          </w:p>
                        </w:tc>
                      </w:tr>
                      <w:tr w:rsidR="00B25F69">
                        <w:trPr>
                          <w:trHeight w:val="340"/>
                        </w:trPr>
                        <w:tc>
                          <w:tcPr>
                            <w:tcW w:w="3600" w:type="dxa"/>
                          </w:tcPr>
                          <w:p w:rsidR="00B25F69" w:rsidRDefault="00B25F6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Demand Volatility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Risks</w:t>
                            </w:r>
                          </w:p>
                        </w:tc>
                        <w:tc>
                          <w:tcPr>
                            <w:tcW w:w="6400" w:type="dxa"/>
                          </w:tcPr>
                          <w:p w:rsidR="00B25F69" w:rsidRDefault="00B25F69">
                            <w:pPr>
                              <w:pStyle w:val="TableParagraph"/>
                              <w:ind w:right="-101"/>
                              <w:rPr>
                                <w:sz w:val="20"/>
                              </w:rPr>
                            </w:pPr>
                            <w:r>
                              <w:t>Unexpected changes in customer demand leading to overstocking or shortages.</w:t>
                            </w:r>
                          </w:p>
                        </w:tc>
                      </w:tr>
                      <w:tr w:rsidR="00B25F69">
                        <w:trPr>
                          <w:trHeight w:val="340"/>
                        </w:trPr>
                        <w:tc>
                          <w:tcPr>
                            <w:tcW w:w="3600" w:type="dxa"/>
                          </w:tcPr>
                          <w:p w:rsidR="00B25F69" w:rsidRDefault="00B25F69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Cybersecurity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Risks</w:t>
                            </w:r>
                          </w:p>
                        </w:tc>
                        <w:tc>
                          <w:tcPr>
                            <w:tcW w:w="6400" w:type="dxa"/>
                          </w:tcPr>
                          <w:p w:rsidR="00B25F69" w:rsidRDefault="00B25F69">
                            <w:pPr>
                              <w:pStyle w:val="TableParagraph"/>
                              <w:ind w:right="-144"/>
                              <w:rPr>
                                <w:sz w:val="20"/>
                              </w:rPr>
                            </w:pPr>
                            <w:r>
                              <w:t>Cyberattacks targeting logistics systems, operational technology, or company data.</w:t>
                            </w:r>
                          </w:p>
                        </w:tc>
                      </w:tr>
                    </w:tbl>
                    <w:p w:rsidR="00B25F69" w:rsidRDefault="00B25F69" w:rsidP="00B25F6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B46CBD" w:rsidRDefault="00B46CBD">
      <w:pPr>
        <w:pStyle w:val="BodyText"/>
        <w:rPr>
          <w:rFonts w:ascii="Arial"/>
          <w:b/>
          <w:sz w:val="28"/>
        </w:rPr>
      </w:pPr>
    </w:p>
    <w:p w:rsidR="00B46CBD" w:rsidRDefault="00B46CBD">
      <w:pPr>
        <w:pStyle w:val="BodyText"/>
        <w:rPr>
          <w:rFonts w:ascii="Arial"/>
          <w:b/>
          <w:sz w:val="28"/>
        </w:rPr>
      </w:pPr>
    </w:p>
    <w:p w:rsidR="00B46CBD" w:rsidRDefault="00B46CBD">
      <w:pPr>
        <w:pStyle w:val="BodyText"/>
        <w:rPr>
          <w:rFonts w:ascii="Arial"/>
          <w:b/>
          <w:sz w:val="28"/>
        </w:rPr>
      </w:pPr>
    </w:p>
    <w:p w:rsidR="00B46CBD" w:rsidRDefault="00B46CBD">
      <w:pPr>
        <w:pStyle w:val="BodyText"/>
        <w:rPr>
          <w:rFonts w:ascii="Arial"/>
          <w:b/>
          <w:sz w:val="28"/>
        </w:rPr>
      </w:pPr>
    </w:p>
    <w:p w:rsidR="00B46CBD" w:rsidRDefault="00B46CBD">
      <w:pPr>
        <w:pStyle w:val="BodyText"/>
        <w:rPr>
          <w:rFonts w:ascii="Arial"/>
          <w:b/>
          <w:sz w:val="28"/>
        </w:rPr>
      </w:pPr>
    </w:p>
    <w:p w:rsidR="00B46CBD" w:rsidRDefault="00B46CBD">
      <w:pPr>
        <w:pStyle w:val="BodyText"/>
        <w:rPr>
          <w:rFonts w:ascii="Arial"/>
          <w:b/>
          <w:sz w:val="28"/>
        </w:rPr>
      </w:pPr>
    </w:p>
    <w:p w:rsidR="00B46CBD" w:rsidRDefault="00B46CBD">
      <w:pPr>
        <w:pStyle w:val="BodyText"/>
        <w:spacing w:before="145"/>
        <w:rPr>
          <w:rFonts w:ascii="Arial"/>
          <w:b/>
          <w:sz w:val="28"/>
        </w:rPr>
      </w:pPr>
    </w:p>
    <w:p w:rsidR="00B25F69" w:rsidRDefault="00B25F69" w:rsidP="00B25F69">
      <w:pPr>
        <w:tabs>
          <w:tab w:val="left" w:pos="511"/>
        </w:tabs>
        <w:ind w:left="199"/>
        <w:rPr>
          <w:rFonts w:ascii="Arial"/>
          <w:b/>
          <w:sz w:val="28"/>
        </w:rPr>
      </w:pPr>
    </w:p>
    <w:p w:rsidR="00B25F69" w:rsidRDefault="00B25F69" w:rsidP="00B25F69">
      <w:pPr>
        <w:tabs>
          <w:tab w:val="left" w:pos="511"/>
        </w:tabs>
        <w:ind w:left="199"/>
        <w:rPr>
          <w:rFonts w:ascii="Arial"/>
          <w:b/>
          <w:sz w:val="28"/>
        </w:rPr>
      </w:pPr>
    </w:p>
    <w:p w:rsidR="00B25F69" w:rsidRDefault="00B25F69" w:rsidP="00B25F69">
      <w:pPr>
        <w:tabs>
          <w:tab w:val="left" w:pos="511"/>
        </w:tabs>
        <w:ind w:left="199"/>
        <w:rPr>
          <w:rFonts w:ascii="Arial"/>
          <w:b/>
          <w:sz w:val="28"/>
        </w:rPr>
      </w:pPr>
    </w:p>
    <w:p w:rsidR="00B25F69" w:rsidRDefault="00B25F69" w:rsidP="00B25F69">
      <w:pPr>
        <w:tabs>
          <w:tab w:val="left" w:pos="511"/>
        </w:tabs>
        <w:ind w:left="199"/>
        <w:rPr>
          <w:rFonts w:ascii="Arial"/>
          <w:b/>
          <w:sz w:val="28"/>
        </w:rPr>
      </w:pPr>
    </w:p>
    <w:p w:rsidR="00B46CBD" w:rsidRPr="00B25F69" w:rsidRDefault="005E456A" w:rsidP="00B25F69">
      <w:pPr>
        <w:pStyle w:val="ListParagraph"/>
        <w:numPr>
          <w:ilvl w:val="0"/>
          <w:numId w:val="1"/>
        </w:numPr>
        <w:tabs>
          <w:tab w:val="left" w:pos="511"/>
        </w:tabs>
        <w:rPr>
          <w:rFonts w:ascii="Arial"/>
          <w:b/>
          <w:sz w:val="28"/>
        </w:rPr>
      </w:pPr>
      <w:r w:rsidRPr="00B25F69">
        <w:rPr>
          <w:rFonts w:ascii="Arial"/>
          <w:b/>
          <w:sz w:val="28"/>
        </w:rPr>
        <w:t xml:space="preserve">Pharmaceutical Industry Supply Chain </w:t>
      </w:r>
      <w:r w:rsidRPr="00B25F69">
        <w:rPr>
          <w:rFonts w:ascii="Arial"/>
          <w:b/>
          <w:spacing w:val="-2"/>
          <w:sz w:val="28"/>
        </w:rPr>
        <w:t>Vulnerabilities</w:t>
      </w:r>
    </w:p>
    <w:p w:rsidR="00B46CBD" w:rsidRDefault="005E456A">
      <w:pPr>
        <w:pStyle w:val="BodyText"/>
        <w:spacing w:before="153" w:line="249" w:lineRule="auto"/>
        <w:ind w:left="200"/>
      </w:pPr>
      <w:r>
        <w:t>T</w:t>
      </w:r>
      <w:r>
        <w:t>he</w:t>
      </w:r>
      <w:r>
        <w:rPr>
          <w:spacing w:val="-4"/>
        </w:rPr>
        <w:t xml:space="preserve"> </w:t>
      </w:r>
      <w:r>
        <w:t>pharmaceutical</w:t>
      </w:r>
      <w:r>
        <w:rPr>
          <w:spacing w:val="-4"/>
        </w:rPr>
        <w:t xml:space="preserve"> </w:t>
      </w:r>
      <w:r>
        <w:t>industry</w:t>
      </w:r>
      <w:r>
        <w:rPr>
          <w:spacing w:val="-4"/>
        </w:rPr>
        <w:t xml:space="preserve"> </w:t>
      </w:r>
      <w:r>
        <w:t>depends</w:t>
      </w:r>
      <w:r>
        <w:rPr>
          <w:spacing w:val="-4"/>
        </w:rPr>
        <w:t xml:space="preserve"> </w:t>
      </w:r>
      <w:r>
        <w:t>heavily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sourcing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pharmaceutical</w:t>
      </w:r>
      <w:r>
        <w:rPr>
          <w:spacing w:val="-4"/>
        </w:rPr>
        <w:t xml:space="preserve"> </w:t>
      </w:r>
      <w:r>
        <w:t>ingredients</w:t>
      </w:r>
      <w:r>
        <w:rPr>
          <w:spacing w:val="-4"/>
        </w:rPr>
        <w:t xml:space="preserve"> </w:t>
      </w:r>
      <w:r>
        <w:t>(APIs),</w:t>
      </w:r>
      <w:r>
        <w:rPr>
          <w:spacing w:val="-4"/>
        </w:rPr>
        <w:t xml:space="preserve"> </w:t>
      </w:r>
      <w:r>
        <w:t>raw materials,</w:t>
      </w:r>
      <w:r>
        <w:rPr>
          <w:spacing w:val="-2"/>
        </w:rPr>
        <w:t xml:space="preserve"> </w:t>
      </w:r>
      <w:r>
        <w:t>packaging,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networks.</w:t>
      </w:r>
      <w:r>
        <w:rPr>
          <w:spacing w:val="-2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pharmaceutical</w:t>
      </w:r>
      <w:r>
        <w:rPr>
          <w:spacing w:val="-2"/>
        </w:rPr>
        <w:t xml:space="preserve"> </w:t>
      </w:r>
      <w:r>
        <w:t>companies</w:t>
      </w:r>
      <w:r>
        <w:rPr>
          <w:spacing w:val="-2"/>
        </w:rPr>
        <w:t xml:space="preserve"> </w:t>
      </w:r>
      <w:r>
        <w:t>rely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suppliers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countries such as China and India for key ingredients. Events such as the COVID-19 pandemic revealed signifi</w:t>
      </w:r>
      <w:r>
        <w:t>cant vulnerabilities including raw material shortages, shipping delays, and manufacturing disruptions.</w:t>
      </w:r>
    </w:p>
    <w:p w:rsidR="00B46CBD" w:rsidRDefault="00B46CBD">
      <w:pPr>
        <w:pStyle w:val="BodyText"/>
      </w:pPr>
    </w:p>
    <w:p w:rsidR="00B46CBD" w:rsidRDefault="00B46CBD">
      <w:pPr>
        <w:pStyle w:val="BodyText"/>
        <w:spacing w:before="28"/>
      </w:pPr>
    </w:p>
    <w:p w:rsidR="00B46CBD" w:rsidRDefault="005E456A">
      <w:pPr>
        <w:pStyle w:val="Heading2"/>
        <w:numPr>
          <w:ilvl w:val="0"/>
          <w:numId w:val="1"/>
        </w:numPr>
        <w:tabs>
          <w:tab w:val="left" w:pos="511"/>
        </w:tabs>
        <w:ind w:hanging="311"/>
      </w:pPr>
      <w:r>
        <w:t xml:space="preserve">High-Impact Supply Chain </w:t>
      </w:r>
      <w:r>
        <w:rPr>
          <w:spacing w:val="-2"/>
        </w:rPr>
        <w:t>Risks</w:t>
      </w:r>
    </w:p>
    <w:p w:rsidR="00B46CBD" w:rsidRDefault="005E456A">
      <w:pPr>
        <w:pStyle w:val="Heading3"/>
        <w:spacing w:before="276"/>
      </w:pPr>
      <w:r>
        <w:t xml:space="preserve">Risk 1: Supplier Dependency on Foreign API </w:t>
      </w:r>
      <w:r>
        <w:rPr>
          <w:spacing w:val="-2"/>
        </w:rPr>
        <w:t>Manufacturers</w:t>
      </w:r>
    </w:p>
    <w:p w:rsidR="00B46CBD" w:rsidRDefault="005E456A">
      <w:pPr>
        <w:pStyle w:val="BodyText"/>
        <w:spacing w:before="121" w:line="249" w:lineRule="auto"/>
        <w:ind w:left="200"/>
      </w:pPr>
      <w:r>
        <w:rPr>
          <w:rFonts w:ascii="Arial"/>
          <w:b/>
        </w:rPr>
        <w:t>Description:</w:t>
      </w:r>
      <w:r>
        <w:rPr>
          <w:rFonts w:ascii="Arial"/>
          <w:b/>
          <w:spacing w:val="-3"/>
        </w:rPr>
        <w:t xml:space="preserve"> </w:t>
      </w:r>
      <w:r>
        <w:t>Heavy</w:t>
      </w:r>
      <w:r>
        <w:rPr>
          <w:spacing w:val="-3"/>
        </w:rPr>
        <w:t xml:space="preserve"> </w:t>
      </w:r>
      <w:r>
        <w:t>dependence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overseas</w:t>
      </w:r>
      <w:r>
        <w:rPr>
          <w:spacing w:val="-3"/>
        </w:rPr>
        <w:t xml:space="preserve"> </w:t>
      </w:r>
      <w:r>
        <w:t>suppliers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disrupt</w:t>
      </w:r>
      <w:r>
        <w:rPr>
          <w:spacing w:val="-3"/>
        </w:rPr>
        <w:t xml:space="preserve"> </w:t>
      </w:r>
      <w:r>
        <w:t>medicine</w:t>
      </w:r>
      <w:r>
        <w:rPr>
          <w:spacing w:val="-3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if suppliers fail or export restrictions occur.</w:t>
      </w:r>
    </w:p>
    <w:p w:rsidR="00B46CBD" w:rsidRDefault="005E456A">
      <w:pPr>
        <w:spacing w:before="122"/>
        <w:ind w:left="200"/>
        <w:rPr>
          <w:sz w:val="20"/>
        </w:rPr>
      </w:pPr>
      <w:r>
        <w:rPr>
          <w:rFonts w:ascii="Arial"/>
          <w:b/>
          <w:sz w:val="20"/>
        </w:rPr>
        <w:t xml:space="preserve">Potential Impact: </w:t>
      </w:r>
      <w:r>
        <w:rPr>
          <w:sz w:val="20"/>
        </w:rPr>
        <w:t xml:space="preserve">High Financial and Operational </w:t>
      </w:r>
      <w:r>
        <w:rPr>
          <w:spacing w:val="-2"/>
          <w:sz w:val="20"/>
        </w:rPr>
        <w:t>Impact</w:t>
      </w:r>
    </w:p>
    <w:p w:rsidR="00B46CBD" w:rsidRDefault="005E456A">
      <w:pPr>
        <w:spacing w:before="130"/>
        <w:ind w:left="200"/>
        <w:rPr>
          <w:sz w:val="20"/>
        </w:rPr>
      </w:pPr>
      <w:r>
        <w:rPr>
          <w:rFonts w:ascii="Arial"/>
          <w:b/>
          <w:sz w:val="20"/>
        </w:rPr>
        <w:t xml:space="preserve">Likelihood: </w:t>
      </w:r>
      <w:r>
        <w:rPr>
          <w:spacing w:val="-4"/>
          <w:sz w:val="20"/>
        </w:rPr>
        <w:t>High</w:t>
      </w:r>
    </w:p>
    <w:p w:rsidR="00B46CBD" w:rsidRDefault="005E456A">
      <w:pPr>
        <w:pStyle w:val="Heading4"/>
      </w:pPr>
      <w:r>
        <w:t xml:space="preserve">Mitigation </w:t>
      </w:r>
      <w:r>
        <w:rPr>
          <w:spacing w:val="-2"/>
        </w:rPr>
        <w:t>Strategies:</w:t>
      </w:r>
    </w:p>
    <w:p w:rsidR="00B46CBD" w:rsidRDefault="005E456A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Develop multi-supplier sourcing </w:t>
      </w:r>
      <w:r>
        <w:rPr>
          <w:spacing w:val="-2"/>
          <w:sz w:val="20"/>
        </w:rPr>
        <w:t>strategies.</w:t>
      </w:r>
    </w:p>
    <w:p w:rsidR="00B46CBD" w:rsidRDefault="005E456A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>Increase local sourcing an</w:t>
      </w:r>
      <w:r>
        <w:rPr>
          <w:sz w:val="20"/>
        </w:rPr>
        <w:t xml:space="preserve">d regional </w:t>
      </w:r>
      <w:r>
        <w:rPr>
          <w:spacing w:val="-2"/>
          <w:sz w:val="20"/>
        </w:rPr>
        <w:t>manufacturing.</w:t>
      </w:r>
    </w:p>
    <w:p w:rsidR="00B46CBD" w:rsidRDefault="005E456A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Maintain strategic inventory buffers for critical </w:t>
      </w:r>
      <w:r>
        <w:rPr>
          <w:spacing w:val="-2"/>
          <w:sz w:val="20"/>
        </w:rPr>
        <w:t>APIs.</w:t>
      </w:r>
    </w:p>
    <w:p w:rsidR="00B46CBD" w:rsidRDefault="005E456A">
      <w:pPr>
        <w:pStyle w:val="BodyText"/>
        <w:spacing w:before="94" w:line="376" w:lineRule="auto"/>
        <w:ind w:left="144" w:right="-29" w:firstLine="21"/>
      </w:pPr>
      <w:r>
        <w:br w:type="column"/>
      </w:r>
    </w:p>
    <w:p w:rsidR="00B46CBD" w:rsidRDefault="00B46CBD">
      <w:pPr>
        <w:pStyle w:val="BodyText"/>
        <w:spacing w:line="376" w:lineRule="auto"/>
        <w:sectPr w:rsidR="00B46CBD">
          <w:type w:val="continuous"/>
          <w:pgSz w:w="12240" w:h="15840"/>
          <w:pgMar w:top="880" w:right="0" w:bottom="280" w:left="720" w:header="720" w:footer="720" w:gutter="0"/>
          <w:cols w:num="2" w:space="720" w:equalWidth="0">
            <w:col w:w="10250" w:space="40"/>
            <w:col w:w="1230"/>
          </w:cols>
        </w:sectPr>
      </w:pPr>
    </w:p>
    <w:p w:rsidR="00B46CBD" w:rsidRDefault="00B46CBD">
      <w:pPr>
        <w:pStyle w:val="BodyText"/>
        <w:spacing w:before="216"/>
        <w:rPr>
          <w:sz w:val="24"/>
        </w:rPr>
      </w:pPr>
    </w:p>
    <w:p w:rsidR="00C6243C" w:rsidRDefault="00C6243C">
      <w:pPr>
        <w:pStyle w:val="Heading3"/>
        <w:spacing w:before="1"/>
      </w:pPr>
    </w:p>
    <w:p w:rsidR="00C6243C" w:rsidRDefault="00C6243C">
      <w:pPr>
        <w:pStyle w:val="Heading3"/>
        <w:spacing w:before="1"/>
      </w:pPr>
    </w:p>
    <w:p w:rsidR="00B46CBD" w:rsidRDefault="005E456A">
      <w:pPr>
        <w:pStyle w:val="Heading3"/>
        <w:spacing w:before="1"/>
      </w:pPr>
      <w:r>
        <w:lastRenderedPageBreak/>
        <w:t xml:space="preserve">Risk 2: Cybersecurity Attacks on Supply Chain </w:t>
      </w:r>
      <w:r>
        <w:rPr>
          <w:spacing w:val="-2"/>
        </w:rPr>
        <w:t>Systems</w:t>
      </w:r>
    </w:p>
    <w:p w:rsidR="00B46CBD" w:rsidRDefault="005E456A">
      <w:pPr>
        <w:pStyle w:val="BodyText"/>
        <w:spacing w:before="121" w:line="249" w:lineRule="auto"/>
        <w:ind w:left="200" w:right="779"/>
      </w:pPr>
      <w:r>
        <w:rPr>
          <w:rFonts w:ascii="Arial"/>
          <w:b/>
        </w:rPr>
        <w:t>Description:</w:t>
      </w:r>
      <w:r>
        <w:rPr>
          <w:rFonts w:ascii="Arial"/>
          <w:b/>
          <w:spacing w:val="-4"/>
        </w:rPr>
        <w:t xml:space="preserve"> </w:t>
      </w:r>
      <w:r>
        <w:t>Cyberattacks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disrupt</w:t>
      </w:r>
      <w:r>
        <w:rPr>
          <w:spacing w:val="-4"/>
        </w:rPr>
        <w:t xml:space="preserve"> </w:t>
      </w:r>
      <w:r>
        <w:t>manufacturing</w:t>
      </w:r>
      <w:r>
        <w:rPr>
          <w:spacing w:val="-4"/>
        </w:rPr>
        <w:t xml:space="preserve"> </w:t>
      </w:r>
      <w:r>
        <w:t>systems,</w:t>
      </w:r>
      <w:r>
        <w:rPr>
          <w:spacing w:val="-4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logistics</w:t>
      </w:r>
      <w:r>
        <w:rPr>
          <w:spacing w:val="-4"/>
        </w:rPr>
        <w:t xml:space="preserve"> </w:t>
      </w:r>
      <w:r>
        <w:t>tracking,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sensitive patient or research data.</w:t>
      </w:r>
    </w:p>
    <w:p w:rsidR="00B46CBD" w:rsidRDefault="005E456A">
      <w:pPr>
        <w:spacing w:before="122"/>
        <w:ind w:left="200"/>
        <w:rPr>
          <w:sz w:val="20"/>
        </w:rPr>
      </w:pPr>
      <w:r>
        <w:rPr>
          <w:rFonts w:ascii="Arial"/>
          <w:b/>
          <w:sz w:val="20"/>
        </w:rPr>
        <w:t xml:space="preserve">Potential Impact: </w:t>
      </w:r>
      <w:r>
        <w:rPr>
          <w:sz w:val="20"/>
        </w:rPr>
        <w:t xml:space="preserve">High Operational and Reputational </w:t>
      </w:r>
      <w:r>
        <w:rPr>
          <w:spacing w:val="-2"/>
          <w:sz w:val="20"/>
        </w:rPr>
        <w:t>Impact</w:t>
      </w:r>
    </w:p>
    <w:p w:rsidR="00B46CBD" w:rsidRDefault="005E456A">
      <w:pPr>
        <w:spacing w:before="130"/>
        <w:ind w:left="200"/>
        <w:rPr>
          <w:sz w:val="20"/>
        </w:rPr>
      </w:pPr>
      <w:r>
        <w:rPr>
          <w:rFonts w:ascii="Arial"/>
          <w:b/>
          <w:sz w:val="20"/>
        </w:rPr>
        <w:t xml:space="preserve">Likelihood: </w:t>
      </w:r>
      <w:r>
        <w:rPr>
          <w:sz w:val="20"/>
        </w:rPr>
        <w:t xml:space="preserve">Medium to </w:t>
      </w:r>
      <w:r>
        <w:rPr>
          <w:spacing w:val="-4"/>
          <w:sz w:val="20"/>
        </w:rPr>
        <w:t>High</w:t>
      </w:r>
    </w:p>
    <w:p w:rsidR="00B46CBD" w:rsidRDefault="00B46CBD">
      <w:pPr>
        <w:rPr>
          <w:sz w:val="20"/>
        </w:rPr>
      </w:pPr>
    </w:p>
    <w:p w:rsidR="00C6243C" w:rsidRDefault="00C6243C">
      <w:pPr>
        <w:rPr>
          <w:sz w:val="20"/>
        </w:rPr>
      </w:pPr>
    </w:p>
    <w:p w:rsidR="00C6243C" w:rsidRDefault="00C6243C" w:rsidP="00C6243C">
      <w:pPr>
        <w:pStyle w:val="Heading4"/>
        <w:spacing w:before="72"/>
      </w:pPr>
      <w:r>
        <w:t xml:space="preserve">Mitigation </w:t>
      </w:r>
      <w:r>
        <w:rPr>
          <w:spacing w:val="-2"/>
        </w:rPr>
        <w:t>Strategies:</w:t>
      </w:r>
    </w:p>
    <w:p w:rsidR="00C6243C" w:rsidRDefault="00C6243C" w:rsidP="00C6243C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Implement multi-factor authentication and endpoint </w:t>
      </w:r>
      <w:r>
        <w:rPr>
          <w:spacing w:val="-2"/>
          <w:sz w:val="20"/>
        </w:rPr>
        <w:t>security.</w:t>
      </w:r>
    </w:p>
    <w:p w:rsidR="00C6243C" w:rsidRDefault="00C6243C" w:rsidP="00C6243C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Conduct regular cybersecurity audits and employee </w:t>
      </w:r>
      <w:r>
        <w:rPr>
          <w:spacing w:val="-2"/>
          <w:sz w:val="20"/>
        </w:rPr>
        <w:t>training.</w:t>
      </w:r>
    </w:p>
    <w:p w:rsidR="00C6243C" w:rsidRDefault="00C6243C" w:rsidP="00C6243C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Develop business continuity and incident response </w:t>
      </w:r>
      <w:r>
        <w:rPr>
          <w:spacing w:val="-2"/>
          <w:sz w:val="20"/>
        </w:rPr>
        <w:t>plans.</w:t>
      </w:r>
    </w:p>
    <w:p w:rsidR="00C6243C" w:rsidRDefault="00C6243C">
      <w:pPr>
        <w:rPr>
          <w:sz w:val="20"/>
        </w:rPr>
      </w:pPr>
    </w:p>
    <w:p w:rsidR="00C6243C" w:rsidRDefault="00C6243C">
      <w:pPr>
        <w:rPr>
          <w:sz w:val="20"/>
        </w:rPr>
      </w:pPr>
    </w:p>
    <w:p w:rsidR="00C6243C" w:rsidRDefault="00C6243C" w:rsidP="00C6243C">
      <w:pPr>
        <w:pStyle w:val="Heading3"/>
      </w:pPr>
      <w:r>
        <w:t xml:space="preserve">Risk 3: Transportation and Logistics </w:t>
      </w:r>
      <w:r>
        <w:rPr>
          <w:spacing w:val="-2"/>
        </w:rPr>
        <w:t>Disruptions</w:t>
      </w:r>
    </w:p>
    <w:p w:rsidR="00C6243C" w:rsidRDefault="00C6243C" w:rsidP="00C6243C">
      <w:pPr>
        <w:pStyle w:val="BodyText"/>
        <w:spacing w:before="121" w:line="249" w:lineRule="auto"/>
        <w:ind w:left="200" w:right="1072"/>
      </w:pPr>
      <w:r>
        <w:rPr>
          <w:rFonts w:ascii="Arial"/>
          <w:b/>
        </w:rPr>
        <w:t>Description:</w:t>
      </w:r>
      <w:r>
        <w:rPr>
          <w:rFonts w:ascii="Arial"/>
          <w:b/>
          <w:spacing w:val="-3"/>
        </w:rPr>
        <w:t xml:space="preserve"> </w:t>
      </w:r>
      <w:r>
        <w:t>Port</w:t>
      </w:r>
      <w:r>
        <w:rPr>
          <w:spacing w:val="-3"/>
        </w:rPr>
        <w:t xml:space="preserve"> </w:t>
      </w:r>
      <w:r>
        <w:t>congestion,</w:t>
      </w:r>
      <w:r>
        <w:rPr>
          <w:spacing w:val="-3"/>
        </w:rPr>
        <w:t xml:space="preserve"> </w:t>
      </w:r>
      <w:r>
        <w:t>fuel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pandemics,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geopolitical</w:t>
      </w:r>
      <w:r>
        <w:rPr>
          <w:spacing w:val="-3"/>
        </w:rPr>
        <w:t xml:space="preserve"> </w:t>
      </w:r>
      <w:r>
        <w:t>conflicts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delay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of pharmaceutical products.</w:t>
      </w:r>
    </w:p>
    <w:p w:rsidR="00C6243C" w:rsidRDefault="00C6243C" w:rsidP="00C6243C">
      <w:pPr>
        <w:spacing w:before="122"/>
        <w:ind w:left="200"/>
        <w:rPr>
          <w:sz w:val="20"/>
        </w:rPr>
      </w:pPr>
      <w:r>
        <w:rPr>
          <w:rFonts w:ascii="Arial"/>
          <w:b/>
          <w:sz w:val="20"/>
        </w:rPr>
        <w:t xml:space="preserve">Potential Impact: </w:t>
      </w:r>
      <w:r>
        <w:rPr>
          <w:sz w:val="20"/>
        </w:rPr>
        <w:t xml:space="preserve">High Operational and Customer Service </w:t>
      </w:r>
      <w:r>
        <w:rPr>
          <w:spacing w:val="-2"/>
          <w:sz w:val="20"/>
        </w:rPr>
        <w:t>Impact</w:t>
      </w:r>
    </w:p>
    <w:p w:rsidR="00C6243C" w:rsidRDefault="00C6243C" w:rsidP="00C6243C">
      <w:pPr>
        <w:spacing w:before="130"/>
        <w:ind w:left="200"/>
        <w:rPr>
          <w:sz w:val="20"/>
        </w:rPr>
      </w:pPr>
      <w:r>
        <w:rPr>
          <w:rFonts w:ascii="Arial"/>
          <w:b/>
          <w:sz w:val="20"/>
        </w:rPr>
        <w:t xml:space="preserve">Likelihood: </w:t>
      </w:r>
      <w:r>
        <w:rPr>
          <w:spacing w:val="-4"/>
          <w:sz w:val="20"/>
        </w:rPr>
        <w:t>High</w:t>
      </w:r>
    </w:p>
    <w:p w:rsidR="00C6243C" w:rsidRDefault="00C6243C">
      <w:pPr>
        <w:rPr>
          <w:sz w:val="20"/>
        </w:rPr>
      </w:pPr>
    </w:p>
    <w:p w:rsidR="00C6243C" w:rsidRDefault="00C6243C">
      <w:pPr>
        <w:rPr>
          <w:sz w:val="20"/>
        </w:rPr>
      </w:pPr>
    </w:p>
    <w:p w:rsidR="00C6243C" w:rsidRDefault="00C6243C" w:rsidP="00C6243C">
      <w:pPr>
        <w:pStyle w:val="Heading4"/>
      </w:pPr>
      <w:r>
        <w:t xml:space="preserve">Mitigation </w:t>
      </w:r>
      <w:r>
        <w:rPr>
          <w:spacing w:val="-2"/>
        </w:rPr>
        <w:t>Strategies:</w:t>
      </w:r>
    </w:p>
    <w:p w:rsidR="00C6243C" w:rsidRDefault="00C6243C" w:rsidP="00C6243C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Diversify transportation routes and logistics </w:t>
      </w:r>
      <w:r>
        <w:rPr>
          <w:spacing w:val="-2"/>
          <w:sz w:val="20"/>
        </w:rPr>
        <w:t>providers.</w:t>
      </w:r>
    </w:p>
    <w:p w:rsidR="00C6243C" w:rsidRDefault="00C6243C" w:rsidP="00C6243C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Use real-time supply chain visibility </w:t>
      </w:r>
      <w:r>
        <w:rPr>
          <w:spacing w:val="-2"/>
          <w:sz w:val="20"/>
        </w:rPr>
        <w:t>systems.</w:t>
      </w:r>
    </w:p>
    <w:p w:rsidR="00C6243C" w:rsidRDefault="00C6243C" w:rsidP="00C6243C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Establish regional distribution </w:t>
      </w:r>
      <w:r>
        <w:rPr>
          <w:spacing w:val="-2"/>
          <w:sz w:val="20"/>
        </w:rPr>
        <w:t>centers.</w:t>
      </w:r>
    </w:p>
    <w:p w:rsidR="00C6243C" w:rsidRDefault="00C6243C">
      <w:pPr>
        <w:rPr>
          <w:sz w:val="20"/>
        </w:rPr>
      </w:pPr>
    </w:p>
    <w:p w:rsidR="00C6243C" w:rsidRDefault="00C6243C" w:rsidP="00C6243C">
      <w:pPr>
        <w:pStyle w:val="Heading2"/>
        <w:numPr>
          <w:ilvl w:val="0"/>
          <w:numId w:val="1"/>
        </w:numPr>
        <w:tabs>
          <w:tab w:val="left" w:pos="511"/>
        </w:tabs>
        <w:ind w:hanging="311"/>
      </w:pPr>
      <w:r>
        <w:t xml:space="preserve">Benefits of Mitigation </w:t>
      </w:r>
      <w:r>
        <w:rPr>
          <w:spacing w:val="-2"/>
        </w:rPr>
        <w:t>Strategies</w:t>
      </w:r>
    </w:p>
    <w:p w:rsidR="00C6243C" w:rsidRDefault="00C6243C" w:rsidP="00C6243C">
      <w:pPr>
        <w:pStyle w:val="BodyText"/>
        <w:spacing w:before="153" w:line="249" w:lineRule="auto"/>
        <w:ind w:left="200" w:right="779"/>
      </w:pPr>
      <w:r>
        <w:t>Implementing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mitigation</w:t>
      </w:r>
      <w:r>
        <w:rPr>
          <w:spacing w:val="-4"/>
        </w:rPr>
        <w:t xml:space="preserve"> </w:t>
      </w:r>
      <w:r>
        <w:t>strategies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supply</w:t>
      </w:r>
      <w:r>
        <w:rPr>
          <w:spacing w:val="-4"/>
        </w:rPr>
        <w:t xml:space="preserve"> </w:t>
      </w:r>
      <w:r>
        <w:t>chain</w:t>
      </w:r>
      <w:r>
        <w:rPr>
          <w:spacing w:val="-4"/>
        </w:rPr>
        <w:t xml:space="preserve"> </w:t>
      </w:r>
      <w:r>
        <w:t>resilience,</w:t>
      </w:r>
      <w:r>
        <w:rPr>
          <w:spacing w:val="-4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operational</w:t>
      </w:r>
      <w:r>
        <w:rPr>
          <w:spacing w:val="-4"/>
        </w:rPr>
        <w:t xml:space="preserve"> </w:t>
      </w:r>
      <w:r>
        <w:t>downtime,</w:t>
      </w:r>
      <w:r>
        <w:rPr>
          <w:spacing w:val="-4"/>
        </w:rPr>
        <w:t xml:space="preserve"> </w:t>
      </w:r>
      <w:r>
        <w:t>minimize financial losses, improve customer trust, and ensure regulatory compliance. Organizations that proactively manage risks are better prepared to respond to disruptions and maintain business continuity.</w:t>
      </w:r>
    </w:p>
    <w:p w:rsidR="00C6243C" w:rsidRDefault="00C6243C" w:rsidP="00C6243C">
      <w:pPr>
        <w:pStyle w:val="BodyText"/>
      </w:pPr>
    </w:p>
    <w:p w:rsidR="00C6243C" w:rsidRDefault="00C6243C" w:rsidP="00C6243C">
      <w:pPr>
        <w:pStyle w:val="BodyText"/>
        <w:spacing w:before="27"/>
      </w:pPr>
    </w:p>
    <w:p w:rsidR="00C6243C" w:rsidRDefault="00C6243C" w:rsidP="00C6243C">
      <w:pPr>
        <w:pStyle w:val="Heading2"/>
        <w:numPr>
          <w:ilvl w:val="0"/>
          <w:numId w:val="1"/>
        </w:numPr>
        <w:tabs>
          <w:tab w:val="left" w:pos="511"/>
        </w:tabs>
        <w:spacing w:before="1"/>
        <w:ind w:hanging="311"/>
      </w:pPr>
      <w:r>
        <w:t xml:space="preserve">Skills </w:t>
      </w:r>
      <w:r>
        <w:rPr>
          <w:spacing w:val="-2"/>
        </w:rPr>
        <w:t>Demonstrated</w:t>
      </w:r>
    </w:p>
    <w:p w:rsidR="00C6243C" w:rsidRDefault="00C6243C" w:rsidP="00C6243C">
      <w:pPr>
        <w:pStyle w:val="ListParagraph"/>
        <w:numPr>
          <w:ilvl w:val="1"/>
          <w:numId w:val="1"/>
        </w:numPr>
        <w:tabs>
          <w:tab w:val="left" w:pos="325"/>
        </w:tabs>
        <w:spacing w:before="153"/>
        <w:ind w:hanging="125"/>
        <w:rPr>
          <w:sz w:val="20"/>
        </w:rPr>
      </w:pPr>
      <w:r>
        <w:rPr>
          <w:spacing w:val="-2"/>
          <w:sz w:val="20"/>
        </w:rPr>
        <w:t>Research</w:t>
      </w:r>
    </w:p>
    <w:p w:rsidR="00C6243C" w:rsidRDefault="00C6243C" w:rsidP="00C6243C">
      <w:pPr>
        <w:pStyle w:val="ListParagraph"/>
        <w:numPr>
          <w:ilvl w:val="1"/>
          <w:numId w:val="1"/>
        </w:numPr>
        <w:tabs>
          <w:tab w:val="left" w:pos="325"/>
        </w:tabs>
        <w:spacing w:before="10"/>
        <w:ind w:hanging="125"/>
        <w:rPr>
          <w:sz w:val="20"/>
        </w:rPr>
      </w:pPr>
      <w:r>
        <w:rPr>
          <w:sz w:val="20"/>
        </w:rPr>
        <w:t xml:space="preserve">Analytical </w:t>
      </w:r>
      <w:r>
        <w:rPr>
          <w:spacing w:val="-2"/>
          <w:sz w:val="20"/>
        </w:rPr>
        <w:t>Thinking</w:t>
      </w:r>
    </w:p>
    <w:p w:rsidR="00C6243C" w:rsidRDefault="00C6243C" w:rsidP="00C6243C">
      <w:pPr>
        <w:pStyle w:val="ListParagraph"/>
        <w:numPr>
          <w:ilvl w:val="1"/>
          <w:numId w:val="1"/>
        </w:numPr>
        <w:tabs>
          <w:tab w:val="left" w:pos="325"/>
        </w:tabs>
        <w:spacing w:before="10"/>
        <w:ind w:hanging="125"/>
        <w:rPr>
          <w:sz w:val="20"/>
        </w:rPr>
      </w:pPr>
      <w:r>
        <w:rPr>
          <w:sz w:val="20"/>
        </w:rPr>
        <w:t xml:space="preserve">Risk </w:t>
      </w:r>
      <w:r>
        <w:rPr>
          <w:spacing w:val="-2"/>
          <w:sz w:val="20"/>
        </w:rPr>
        <w:t>Management</w:t>
      </w:r>
    </w:p>
    <w:p w:rsidR="00C6243C" w:rsidRPr="002F74EF" w:rsidRDefault="00C6243C" w:rsidP="002F74EF">
      <w:pPr>
        <w:pStyle w:val="ListParagraph"/>
        <w:numPr>
          <w:ilvl w:val="1"/>
          <w:numId w:val="1"/>
        </w:numPr>
        <w:tabs>
          <w:tab w:val="left" w:pos="325"/>
        </w:tabs>
        <w:spacing w:before="10"/>
        <w:ind w:hanging="125"/>
        <w:rPr>
          <w:sz w:val="20"/>
        </w:rPr>
        <w:sectPr w:rsidR="00C6243C" w:rsidRPr="002F74EF">
          <w:type w:val="continuous"/>
          <w:pgSz w:w="12240" w:h="15840"/>
          <w:pgMar w:top="880" w:right="0" w:bottom="280" w:left="720" w:header="720" w:footer="720" w:gutter="0"/>
          <w:cols w:space="720"/>
        </w:sectPr>
      </w:pPr>
      <w:r>
        <w:rPr>
          <w:sz w:val="20"/>
        </w:rPr>
        <w:t xml:space="preserve">Supply Chain </w:t>
      </w:r>
      <w:r>
        <w:rPr>
          <w:spacing w:val="-2"/>
          <w:sz w:val="20"/>
        </w:rPr>
        <w:t>Managem</w:t>
      </w:r>
      <w:r w:rsidR="005E456A">
        <w:rPr>
          <w:spacing w:val="-2"/>
          <w:sz w:val="20"/>
        </w:rPr>
        <w:t>ent.</w:t>
      </w:r>
      <w:bookmarkStart w:id="0" w:name="_GoBack"/>
      <w:bookmarkEnd w:id="0"/>
    </w:p>
    <w:p w:rsidR="00B46CBD" w:rsidRDefault="00B46CBD" w:rsidP="002F74EF">
      <w:pPr>
        <w:pStyle w:val="BodyText"/>
      </w:pPr>
    </w:p>
    <w:sectPr w:rsidR="00B46CBD">
      <w:pgSz w:w="12240" w:h="15840"/>
      <w:pgMar w:top="86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965CD6"/>
    <w:multiLevelType w:val="hybridMultilevel"/>
    <w:tmpl w:val="A6F2FE78"/>
    <w:lvl w:ilvl="0" w:tplc="E01E6794">
      <w:start w:val="1"/>
      <w:numFmt w:val="decimal"/>
      <w:lvlText w:val="%1."/>
      <w:lvlJc w:val="left"/>
      <w:pPr>
        <w:ind w:left="511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6AC3148">
      <w:numFmt w:val="bullet"/>
      <w:lvlText w:val="•"/>
      <w:lvlJc w:val="left"/>
      <w:pPr>
        <w:ind w:left="32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13E21EE">
      <w:numFmt w:val="bullet"/>
      <w:lvlText w:val="•"/>
      <w:lvlJc w:val="left"/>
      <w:pPr>
        <w:ind w:left="1601" w:hanging="126"/>
      </w:pPr>
      <w:rPr>
        <w:rFonts w:hint="default"/>
        <w:lang w:val="en-US" w:eastAsia="en-US" w:bidi="ar-SA"/>
      </w:rPr>
    </w:lvl>
    <w:lvl w:ilvl="3" w:tplc="2E608BCC">
      <w:numFmt w:val="bullet"/>
      <w:lvlText w:val="•"/>
      <w:lvlJc w:val="left"/>
      <w:pPr>
        <w:ind w:left="2682" w:hanging="126"/>
      </w:pPr>
      <w:rPr>
        <w:rFonts w:hint="default"/>
        <w:lang w:val="en-US" w:eastAsia="en-US" w:bidi="ar-SA"/>
      </w:rPr>
    </w:lvl>
    <w:lvl w:ilvl="4" w:tplc="9B220056">
      <w:numFmt w:val="bullet"/>
      <w:lvlText w:val="•"/>
      <w:lvlJc w:val="left"/>
      <w:pPr>
        <w:ind w:left="3763" w:hanging="126"/>
      </w:pPr>
      <w:rPr>
        <w:rFonts w:hint="default"/>
        <w:lang w:val="en-US" w:eastAsia="en-US" w:bidi="ar-SA"/>
      </w:rPr>
    </w:lvl>
    <w:lvl w:ilvl="5" w:tplc="1DE66D52">
      <w:numFmt w:val="bullet"/>
      <w:lvlText w:val="•"/>
      <w:lvlJc w:val="left"/>
      <w:pPr>
        <w:ind w:left="4844" w:hanging="126"/>
      </w:pPr>
      <w:rPr>
        <w:rFonts w:hint="default"/>
        <w:lang w:val="en-US" w:eastAsia="en-US" w:bidi="ar-SA"/>
      </w:rPr>
    </w:lvl>
    <w:lvl w:ilvl="6" w:tplc="8296543C">
      <w:numFmt w:val="bullet"/>
      <w:lvlText w:val="•"/>
      <w:lvlJc w:val="left"/>
      <w:pPr>
        <w:ind w:left="5925" w:hanging="126"/>
      </w:pPr>
      <w:rPr>
        <w:rFonts w:hint="default"/>
        <w:lang w:val="en-US" w:eastAsia="en-US" w:bidi="ar-SA"/>
      </w:rPr>
    </w:lvl>
    <w:lvl w:ilvl="7" w:tplc="E0548FEE">
      <w:numFmt w:val="bullet"/>
      <w:lvlText w:val="•"/>
      <w:lvlJc w:val="left"/>
      <w:pPr>
        <w:ind w:left="7006" w:hanging="126"/>
      </w:pPr>
      <w:rPr>
        <w:rFonts w:hint="default"/>
        <w:lang w:val="en-US" w:eastAsia="en-US" w:bidi="ar-SA"/>
      </w:rPr>
    </w:lvl>
    <w:lvl w:ilvl="8" w:tplc="44F2514E">
      <w:numFmt w:val="bullet"/>
      <w:lvlText w:val="•"/>
      <w:lvlJc w:val="left"/>
      <w:pPr>
        <w:ind w:left="8087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6CBD"/>
    <w:rsid w:val="002F74EF"/>
    <w:rsid w:val="005E456A"/>
    <w:rsid w:val="00B25F69"/>
    <w:rsid w:val="00B46CBD"/>
    <w:rsid w:val="00C6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CB27A"/>
  <w15:docId w15:val="{F3F27429-89D8-4A41-B5D0-510375B10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5"/>
      <w:ind w:left="3077" w:right="1072" w:hanging="2723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511" w:hanging="311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200"/>
      <w:outlineLvl w:val="2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pPr>
      <w:spacing w:before="130"/>
      <w:ind w:left="20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30"/>
      <w:ind w:left="325" w:hanging="125"/>
    </w:pPr>
  </w:style>
  <w:style w:type="paragraph" w:customStyle="1" w:styleId="TableParagraph">
    <w:name w:val="Table Paragraph"/>
    <w:basedOn w:val="Normal"/>
    <w:uiPriority w:val="1"/>
    <w:qFormat/>
    <w:pPr>
      <w:spacing w:before="62"/>
      <w:ind w:left="120"/>
    </w:pPr>
  </w:style>
  <w:style w:type="character" w:customStyle="1" w:styleId="BodyTextChar">
    <w:name w:val="Body Text Char"/>
    <w:basedOn w:val="DefaultParagraphFont"/>
    <w:link w:val="BodyText"/>
    <w:uiPriority w:val="1"/>
    <w:rsid w:val="00B25F69"/>
    <w:rPr>
      <w:rFonts w:ascii="Arial MT" w:eastAsia="Arial MT" w:hAnsi="Arial MT" w:cs="Arial MT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6243C"/>
    <w:rPr>
      <w:rFonts w:ascii="Arial" w:eastAsia="Arial" w:hAnsi="Arial" w:cs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6243C"/>
    <w:rPr>
      <w:rFonts w:ascii="Arial" w:eastAsia="Arial" w:hAnsi="Arial" w:cs="Arial"/>
      <w:b/>
      <w:bCs/>
      <w:i/>
      <w:i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6243C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Charles Walton</cp:lastModifiedBy>
  <cp:revision>4</cp:revision>
  <dcterms:created xsi:type="dcterms:W3CDTF">2026-05-29T21:12:00Z</dcterms:created>
  <dcterms:modified xsi:type="dcterms:W3CDTF">2026-05-29T21:23:00Z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2026-05-29T00:00:00Z</vt:filetime>
  </property>
  <property fmtid="{D5CDD505-2E9C-101B-9397-08002B2CF9AE}" pid="6" name="Producer">
    <vt:lpwstr>ReportLab PDF Library - www.reportlab.com</vt:lpwstr>
  </property>
</Properties>
</file>