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Blank Case Profile &amp; Case Review Sheet</w:t>
      </w:r>
    </w:p>
    <w:p>
      <w:pPr>
        <w:jc w:val="center"/>
      </w:pPr>
      <w:r>
        <w:rPr>
          <w:sz w:val="22"/>
        </w:rPr>
        <w:t>Case Profile (Part 1) is completed for every case. Then complete ONE of: Part 2A (LWOP Homicide), Part 2B (LWOP Sex Offense), or Part 2C (Other Felony).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1 — CASE PROFILE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Prosecution's Theory of the Case</w:t>
            </w:r>
          </w:p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2"/>
        </w:rPr>
        <w:t xml:space="preserve">Draft synopsis of the State's position, for defense use — not an admission of any fact. Every factual assertion carries a discovery cite; attribution, not adoption.</w:t>
      </w:r>
    </w:p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Charge &amp; forum</w:t>
      </w:r>
    </w:p>
    <w:p/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The State's narrative of the offense</w:t>
      </w:r>
    </w:p>
    <w:p/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Theory of guilt</w:t>
      </w:r>
    </w:p>
    <w:p/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Key proof the State will rely on</w:t>
      </w:r>
    </w:p>
    <w:p/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Apparent weak points in the State's proof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Case Identification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Case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☐ MISDEMEANOR</w:t>
            </w:r>
          </w:p>
        </w:tc>
        <w:tc>
          <w:tcPr>
            <w:tcW w:type="dxa" w:w="2340"/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☐ FELONY</w:t>
            </w:r>
          </w:p>
        </w:tc>
        <w:tc>
          <w:tcPr>
            <w:tcW w:type="dxa" w:w="2340"/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☐ STATE</w:t>
            </w:r>
          </w:p>
        </w:tc>
        <w:tc>
          <w:tcPr>
            <w:tcW w:type="dxa" w:w="2340"/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☐ FEDERAL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Next Court 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B3B"/>
          </w:tcPr>
          <w:p>
            <w:pPr>
              <w:jc w:val="right"/>
            </w:pPr>
            <w:r>
              <w:rPr>
                <w:rFonts w:ascii="Calibri" w:hAnsi="Calibri"/>
                <w:b/>
                <w:color w:val="C62828"/>
                <w:sz w:val="22"/>
              </w:rPr>
              <w:t xml:space="preserve">NEXT COURT DATE</w:t>
            </w:r>
          </w:p>
        </w:tc>
        <w:tc>
          <w:tcPr>
            <w:tcW w:type="dxa" w:w="4680"/>
            <w:shd w:fill="FFCDD2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Defendant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Place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Race/Sex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Physical Description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Social Security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Immigration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Address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Email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Sourcing for the new Defendant fields: Place of Birth and Race/Sex → booking record or NCIC / RAP sheet. Physical Description → booking record or incident report narrative (height, weight, build, distinguishing marks, tattoos, scars). Immigration Status → client interview, jail intake screening sheet, or any ICE detainer or A-file reference in discovery. If the client is a non-citizen, flag for collateral-consequences review and route plea analysis to dw-plea-negotiation-analyzer with the immigration impact noted.</w:t>
      </w:r>
    </w:p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Complaining Witness / Victim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If multiple complainants/victims, duplicate this block for each. If the complaining witness is a minor, redact identifying details in any externally distributed copy.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Race/Sex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Address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Court &amp; Case Numbers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Docket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Docket # (Companion / Related)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Bill / Indictment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Court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Division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Judge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Arrest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Hire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Co-Defendant(s)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Investigative / Prosecution Personnel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Case Detective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Assisting Detective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First Responder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Evidence Collection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Nurse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Victim Advocate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Interpreter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Crime Lab Analyst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Issuing Judge (warrants)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Prosecuting ADA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Seized Property / Devices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List every phone, tablet, computer, hard drive, USB device, vehicle, weapon, document, currency, or other item taken from the client, the scene, or any co-defendant at arrest or by warrant. Add rows as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0"/>
        <w:gridCol w:w="1040"/>
        <w:gridCol w:w="820"/>
        <w:gridCol w:w="1300"/>
        <w:gridCol w:w="1250"/>
        <w:gridCol w:w="820"/>
        <w:gridCol w:w="1040"/>
        <w:gridCol w:w="1080"/>
        <w:gridCol w:w="860"/>
      </w:tblGrid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Item</w:t>
            </w:r>
          </w:p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Evidence ID / PR#</w:t>
            </w:r>
          </w:p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Owner</w:t>
            </w:r>
          </w:p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Owner Basis</w:t>
            </w:r>
          </w:p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Seized From</w:t>
            </w:r>
          </w:p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Date Seized</w:t>
            </w:r>
          </w:p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Warrant # / Bate</w:t>
            </w:r>
          </w:p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Extraction Status</w:t>
            </w:r>
          </w:p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 xml:space="preserve">Notes</w:t>
            </w:r>
          </w:p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1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3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5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8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SUPPRESSION TRIGGER — Any item that appears in discovery without a corresponding warrant, consent record, or arrest-incident inventory entry must be flagged in red and routed to dw-suppression-motion.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Probation/Parole Status</w:t>
            </w:r>
          </w:p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Populate if the client is currently on probation, parole, or any form of court supervision. A probation/parole hold can override bond reduction and is often the gating issue for pretrial release. Source: client interview, NCIC/RAP sheet, prior PSI, parole certificate, or P/P officer contact. Flag any active detainer in red and route to dw-bond-and-release-motion.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On Probation or Parole?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Type (Probation / Parole / Drug Court / Diversion / Other)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Parole / Probation Officer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Officer Phone / Email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Supervising Court / Parish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Underlying Conviction / Docket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Supervision Start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Supervision Expiration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Sentence Eligibility / Time Remaining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Detainer / Hold Active? (Y/N — flag in red if Y)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Special Conditions (drug testing, GPS, no-contact, curfew)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Notes / Revocation Exposure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b/>
                <w:color w:val="C62828"/>
                <w:sz w:val="22"/>
              </w:rPr>
              <w:t>[ATTORNEY]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Charges &amp; Exposure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Charges (per count)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One row per count. Match the count numbering in the Bill of Information or Indictment. Add rows as needed for multi-count cases.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"/>
        <w:gridCol w:w="1260"/>
        <w:gridCol w:w="1440"/>
        <w:gridCol w:w="1440"/>
        <w:gridCol w:w="3060"/>
        <w:gridCol w:w="1260"/>
      </w:tblGrid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Count</w:t>
            </w:r>
          </w:p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La. Statute</w:t>
            </w:r>
          </w:p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Max Penalty</w:t>
            </w:r>
          </w:p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Mandatory Min</w:t>
            </w:r>
          </w:p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Elements</w:t>
            </w:r>
          </w:p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Responsive Verdicts</w:t>
            </w:r>
          </w:p>
        </w:tc>
      </w:tr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30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Habitual Offender Exposure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Populate only when a habitual bill is filed, threatened, or anticipated; otherwise leave blank. Capture: predicate convictions (date / parish / docket / disposition / cleansing-period status), enhancement multiplier per affected count, cleansing-period and Boykin / R.S. 15:530.7 challenges, and the strategic question. Route to dw-habitual-offender-auditor for full audit.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Arraignment &amp; Bail History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Arraignment History (one row per arraignment or re-arraignment)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1900"/>
        <w:gridCol w:w="1500"/>
        <w:gridCol w:w="1500"/>
        <w:gridCol w:w="1500"/>
        <w:gridCol w:w="1760"/>
      </w:tblGrid>
      <w:tr>
        <w:tc>
          <w:tcPr>
            <w:tcW w:type="dxa" w:w="12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Date</w:t>
            </w:r>
          </w:p>
        </w:tc>
        <w:tc>
          <w:tcPr>
            <w:tcW w:type="dxa" w:w="19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Charges Read</w:t>
            </w:r>
          </w:p>
        </w:tc>
        <w:tc>
          <w:tcPr>
            <w:tcW w:type="dxa" w:w="15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Prosecutor</w:t>
            </w:r>
          </w:p>
        </w:tc>
        <w:tc>
          <w:tcPr>
            <w:tcW w:type="dxa" w:w="15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Judge</w:t>
            </w:r>
          </w:p>
        </w:tc>
        <w:tc>
          <w:tcPr>
            <w:tcW w:type="dxa" w:w="15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Plea Entered</w:t>
            </w:r>
          </w:p>
        </w:tc>
        <w:tc>
          <w:tcPr>
            <w:tcW w:type="dxa" w:w="176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Notes</w:t>
            </w:r>
          </w:p>
        </w:tc>
      </w:tr>
      <w:tr>
        <w:tc>
          <w:tcPr>
            <w:tcW w:type="dxa" w:w="1200"/>
            <w:shd w:fill="FFFFFF"/>
          </w:tcPr>
          <w:p/>
        </w:tc>
        <w:tc>
          <w:tcPr>
            <w:tcW w:type="dxa" w:w="19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760"/>
            <w:shd w:fill="FFFFFF"/>
          </w:tcPr>
          <w:p/>
        </w:tc>
      </w:tr>
      <w:tr>
        <w:tc>
          <w:tcPr>
            <w:tcW w:type="dxa" w:w="1200"/>
            <w:shd w:fill="FFFFFF"/>
          </w:tcPr>
          <w:p/>
        </w:tc>
        <w:tc>
          <w:tcPr>
            <w:tcW w:type="dxa" w:w="19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760"/>
            <w:shd w:fill="FFFFFF"/>
          </w:tcPr>
          <w:p/>
        </w:tc>
      </w:tr>
      <w:tr>
        <w:tc>
          <w:tcPr>
            <w:tcW w:type="dxa" w:w="1200"/>
            <w:shd w:fill="FFFFFF"/>
          </w:tcPr>
          <w:p/>
        </w:tc>
        <w:tc>
          <w:tcPr>
            <w:tcW w:type="dxa" w:w="19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760"/>
            <w:shd w:fill="FFFFFF"/>
          </w:tcPr>
          <w:p/>
        </w:tc>
      </w:tr>
      <w:tr>
        <w:tc>
          <w:tcPr>
            <w:tcW w:type="dxa" w:w="1200"/>
            <w:shd w:fill="FFFFFF"/>
          </w:tcPr>
          <w:p/>
        </w:tc>
        <w:tc>
          <w:tcPr>
            <w:tcW w:type="dxa" w:w="19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500"/>
            <w:shd w:fill="FFFFFF"/>
          </w:tcPr>
          <w:p/>
        </w:tc>
        <w:tc>
          <w:tcPr>
            <w:tcW w:type="dxa" w:w="1760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 xml:space="preserve">Bail / Bond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Bail Status (ROR / REMAND / BAIL SET / EXAM ORDERED)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Bond Amount — Total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Bond Type (Commercial Surety / Cash / Property / Personal Recognizance)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Cash Bond Amount (if posted)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Bail Set / Hearing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Conditions of Release (GPS, no-contact, drug testing, curfew, travel restrictions)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Bail Notes (history of bond hearings, modifications, source-of-funds disputes)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Court Appearance Log</w:t>
            </w:r>
          </w:p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Backward-looking chronological record of every court appearance after arraignment (status conferences, motion hearings, pre-trial conferences). Distinct from Section 10 Key Dates, which is forward-looking statutory deadlines and procedural milestones. Source: court minute entries, Cowork session bookends, and attorney notes.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0"/>
        <w:gridCol w:w="1600"/>
        <w:gridCol w:w="1300"/>
        <w:gridCol w:w="1300"/>
        <w:gridCol w:w="1300"/>
        <w:gridCol w:w="2760"/>
      </w:tblGrid>
      <w:tr>
        <w:tc>
          <w:tcPr>
            <w:tcW w:type="dxa" w:w="11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Date</w:t>
            </w:r>
          </w:p>
        </w:tc>
        <w:tc>
          <w:tcPr>
            <w:tcW w:type="dxa" w:w="16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Appearance Type</w:t>
            </w:r>
          </w:p>
        </w:tc>
        <w:tc>
          <w:tcPr>
            <w:tcW w:type="dxa" w:w="13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ADA</w:t>
            </w:r>
          </w:p>
        </w:tc>
        <w:tc>
          <w:tcPr>
            <w:tcW w:type="dxa" w:w="13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Judge</w:t>
            </w:r>
          </w:p>
        </w:tc>
        <w:tc>
          <w:tcPr>
            <w:tcW w:type="dxa" w:w="13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Bail Status</w:t>
            </w:r>
          </w:p>
        </w:tc>
        <w:tc>
          <w:tcPr>
            <w:tcW w:type="dxa" w:w="276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Notes / Rulings</w:t>
            </w:r>
          </w:p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760"/>
            <w:shd w:fill="FFFFFF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Case-Specific Defenses (Repeat for each defense)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Defense Theory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Supporting Evidence/Document (with Bate stamp reference)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Constitutional Issues Flagged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Factual Weaknesses in State's Case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Affirmative Defenses Supported by Facts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Recommendation for Attorney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Client Background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Prior Criminal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Family/Home Life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Educational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Employment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Medical/Mental Health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Substance Abuse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Military Service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 xml:space="preserve">Other Relevant Info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Plea Discussions Log</w:t>
            </w:r>
          </w:p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Every plea offer extended by the State, every counter-offer by the defense, and every conveyance to the client (Rule 1.4 compliance). For formal trial-exposure analysis on any offer, route to dw-plea-negotiation-analyzer. Source: emails with ADA, court minute entries, attorney notes, and dw-case-brain session entries.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0"/>
        <w:gridCol w:w="2200"/>
        <w:gridCol w:w="1600"/>
        <w:gridCol w:w="1800"/>
        <w:gridCol w:w="1400"/>
        <w:gridCol w:w="1260"/>
      </w:tblGrid>
      <w:tr>
        <w:tc>
          <w:tcPr>
            <w:tcW w:type="dxa" w:w="11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Date</w:t>
            </w:r>
          </w:p>
        </w:tc>
        <w:tc>
          <w:tcPr>
            <w:tcW w:type="dxa" w:w="22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Plea Offer / Counter</w:t>
            </w:r>
          </w:p>
        </w:tc>
        <w:tc>
          <w:tcPr>
            <w:tcW w:type="dxa" w:w="16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Source (ADA / Court / Email)</w:t>
            </w:r>
          </w:p>
        </w:tc>
        <w:tc>
          <w:tcPr>
            <w:tcW w:type="dxa" w:w="18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Conveyed to Client (Y/N + Date)</w:t>
            </w:r>
          </w:p>
        </w:tc>
        <w:tc>
          <w:tcPr>
            <w:tcW w:type="dxa" w:w="14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Client Response</w:t>
            </w:r>
          </w:p>
        </w:tc>
        <w:tc>
          <w:tcPr>
            <w:tcW w:type="dxa" w:w="126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Notes</w:t>
            </w:r>
          </w:p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  <w:tr>
        <w:tc>
          <w:tcPr>
            <w:tcW w:type="dxa" w:w="11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1600"/>
            <w:shd w:fill="FFFFFF"/>
          </w:tcPr>
          <w:p/>
        </w:tc>
        <w:tc>
          <w:tcPr>
            <w:tcW w:type="dxa" w:w="1800"/>
            <w:shd w:fill="FFFFFF"/>
          </w:tcPr>
          <w:p/>
        </w:tc>
        <w:tc>
          <w:tcPr>
            <w:tcW w:type="dxa" w:w="1400"/>
            <w:shd w:fill="FFFFFF"/>
          </w:tcPr>
          <w:p/>
        </w:tc>
        <w:tc>
          <w:tcPr>
            <w:tcW w:type="dxa" w:w="1260"/>
            <w:shd w:fill="FFFFFF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10 — Family / Friends Contact List</w:t>
            </w:r>
          </w:p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Persons in the client's support network — for sentencing mitigation, character witnesses, bond co-signers, jail visits, and client humanization at trial. Mark role accurately: a potential character witness must be vetted, and a bond co-signer must be qualified. Source: client interview, jail intake, attorney meetings, and Plaud recordings.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1300"/>
        <w:gridCol w:w="2200"/>
        <w:gridCol w:w="2100"/>
        <w:gridCol w:w="800"/>
        <w:gridCol w:w="1460"/>
      </w:tblGrid>
      <w:tr>
        <w:tc>
          <w:tcPr>
            <w:tcW w:type="dxa" w:w="15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Person</w:t>
            </w:r>
          </w:p>
        </w:tc>
        <w:tc>
          <w:tcPr>
            <w:tcW w:type="dxa" w:w="13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Relation</w:t>
            </w:r>
          </w:p>
        </w:tc>
        <w:tc>
          <w:tcPr>
            <w:tcW w:type="dxa" w:w="22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Phone / Email / Address</w:t>
            </w:r>
          </w:p>
        </w:tc>
        <w:tc>
          <w:tcPr>
            <w:tcW w:type="dxa" w:w="21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Role (Mitigation / Character / Bond / Support)</w:t>
            </w:r>
          </w:p>
        </w:tc>
        <w:tc>
          <w:tcPr>
            <w:tcW w:type="dxa" w:w="80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Vetted?</w:t>
            </w:r>
          </w:p>
        </w:tc>
        <w:tc>
          <w:tcPr>
            <w:tcW w:type="dxa" w:w="1460"/>
            <w:shd w:fill="607D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Notes</w:t>
            </w:r>
          </w:p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  <w:tr>
        <w:tc>
          <w:tcPr>
            <w:tcW w:type="dxa" w:w="1500"/>
            <w:shd w:fill="FFFFFF"/>
          </w:tcPr>
          <w:p/>
        </w:tc>
        <w:tc>
          <w:tcPr>
            <w:tcW w:type="dxa" w:w="1300"/>
            <w:shd w:fill="FFFFFF"/>
          </w:tcPr>
          <w:p/>
        </w:tc>
        <w:tc>
          <w:tcPr>
            <w:tcW w:type="dxa" w:w="2200"/>
            <w:shd w:fill="FFFFFF"/>
          </w:tcPr>
          <w:p/>
        </w:tc>
        <w:tc>
          <w:tcPr>
            <w:tcW w:type="dxa" w:w="2100"/>
            <w:shd w:fill="FFFFFF"/>
          </w:tcPr>
          <w:p/>
        </w:tc>
        <w:tc>
          <w:tcPr>
            <w:tcW w:type="dxa" w:w="800"/>
            <w:shd w:fill="FFFFFF"/>
          </w:tcPr>
          <w:p/>
        </w:tc>
        <w:tc>
          <w:tcPr>
            <w:tcW w:type="dxa" w:w="1460"/>
            <w:shd w:fill="FFFFFF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D4037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11 — Key Dates &amp; Next Steps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Key Dates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The attorney's procedural calendar — court dates, statutory deadlines, motion filing deadlines, and other procedural milestones. The comprehensive evidentiary timeline (every fact, every source, conflict-flagged) lives separately in the Timeline Sheet of Case Tables.xlsx; do not sync the two. Sort chronologically. For calculated dates (e.g., Art. 701 release date), state the calculation in the Source cell.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Event Description</w:t>
            </w:r>
          </w:p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High Priority Next Steps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Cowork-prepopulated, attorney-finalized list of the highest-priority case actions that should happen next. Each row: Step (what to do), Why High Priority (deadline, statutory clock, evidentiary risk, or strategic value), Owner (Attorney/Investigator/Cowork/Staff), Routing (specialist skill or workflow), Target Date, Status (Open / In-Progress / Done). Rank High/Medium/Low. Done rows stay in the table — they are the audit trail; nothing leaves this 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800"/>
        <w:gridCol w:w="1080"/>
        <w:gridCol w:w="1620"/>
        <w:gridCol w:w="1260"/>
        <w:gridCol w:w="1440"/>
      </w:tblGrid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Why High Priority</w:t>
            </w:r>
          </w:p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Routing</w:t>
            </w:r>
          </w:p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Target Date</w:t>
            </w:r>
          </w:p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8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62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jc w:val="center"/>
      </w:pPr>
      <w:r>
        <w:rPr>
          <w:b/>
          <w:sz w:val="28"/>
        </w:rPr>
        <w:t>PART 2 — CASE-TYPE SPECIFIC REVIEW SHEET</w:t>
      </w:r>
    </w:p>
    <w:p>
      <w:pPr>
        <w:jc w:val="center"/>
      </w:pPr>
      <w:r>
        <w:rPr>
          <w:sz w:val="22"/>
        </w:rPr>
        <w:t>Complete ONE of the following based on case type:</w:t>
      </w:r>
    </w:p>
    <w:p>
      <w:pPr>
        <w:jc w:val="center"/>
      </w:pPr>
      <w:r>
        <w:rPr>
          <w:sz w:val="22"/>
        </w:rPr>
        <w:t>☐ Part 2A — LWOP Homicide   (Calcasieu PDO required for LWOP-exposure homicide cases)</w:t>
        <w:br/>
        <w:t>☐ Part 2B — LWOP Sex Offense   (Calcasieu PDO required for LWOP-exposure sex offense cases; resubmit every 30 days)</w:t>
        <w:br/>
        <w:t>☐ Part 2C — Other Felony   (Non-LWOP felony cases)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2A — LWOP HOMICIDE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Defender. Complete ONLY if case carries LWOP exposure on a homicide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Homicide-Specific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(place * by name of deceased)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(La. C.Cr.P. art. 905.4 — specific alleged acts)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 — witness, who took statement, date/time, summary; bold quotes; note inconsistencies)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 (times, locations, officer actions)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(Homicide)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Deceased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 (DNA, ballistics,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2B — LWOP SEX OFFENSE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 30 days after appointment and every consecutive 30 days. Complete ONLY if case carries LWOP exposure on a sex offense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Sex Offense-Specific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(include ages &amp; dates of birth)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(age of victim, relationship, use of force, threats, position of trust/authority)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(Sex Offense)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Is it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Accuser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 30 days after appointment and again every consecutive 30 days.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2C — OTHER FELONY CASE REVIEW SHEET</w:t>
      </w:r>
    </w:p>
    <w:p>
      <w:pPr>
        <w:jc w:val="left"/>
      </w:pPr>
      <w:r>
        <w:rPr>
          <w:i/>
          <w:sz w:val="20"/>
        </w:rPr>
        <w:t>For non-LWOP felony cases. Captures case-development detail without District Defender submission requirement and without homicide- or sex-offense-specific evidence categories.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Felony Case Specifics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/ Complainant(s) (if applicable)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(General Felony)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Physical Evidence Inventory (weapons, drugs, paraphernalia, clothing, etc.)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 (DNA, toxicology, ballistics, drug analysis,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Victim/Complainant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