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Blank Case Profile &amp; Case Review Sheet</w:t>
      </w:r>
    </w:p>
    <w:p>
      <w:pPr>
        <w:jc w:val="center"/>
      </w:pPr>
      <w:r>
        <w:rPr>
          <w:sz w:val="22"/>
        </w:rPr>
        <w:t>Case Profile (Part 1) is completed for every case. Then complete ONE of: Part 2A (LWOP Homicide), Part 2B (LWOP Sex Offense), or Part 2C (Other Felony).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1 — CASE PROFILE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Identification</w:t>
            </w:r>
          </w:p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Defendant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Birth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Place of Birth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Race/Sex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Physical Description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Social Security #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Immigration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Address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Email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Complaining Witness / Victim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If multiple complainants/victims, duplicate this block for each. If the complaining witness is a minor, redact identifying details in any externally distributed copy.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Birth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Race/Sex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Address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Court &amp; Case Numbers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Docket #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Court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Division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Judge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Arrest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Hire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Co-Defendant(s)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Investigative / Prosecution Personnel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Case Detective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Assisting Detective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First Responder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Evidence Collection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Nurse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Victim Advocate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Interpreter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Crime Lab Analyst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Issuing Judge (warrants)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Prosecuting ADA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Seized Property / Devices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List every phone, tablet, computer, hard drive, USB device, vehicle, weapon, document, currency, or other item taken from the client, the scene, or any co-defendant at arrest or by warrant. Add rows as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1500"/>
        <w:gridCol w:w="900"/>
        <w:gridCol w:w="1200"/>
        <w:gridCol w:w="1200"/>
        <w:gridCol w:w="2160"/>
      </w:tblGrid>
      <w:tr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Seized From</w:t>
            </w:r>
          </w:p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Date Seized</w:t>
            </w:r>
          </w:p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Warrant # / Bate</w:t>
            </w:r>
          </w:p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Extraction Status</w:t>
            </w:r>
          </w:p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5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9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2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</w:tbl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SUPPRESSION TRIGGER — Any item that appears in discovery without a corresponding warrant, consent record, or arrest-incident inventory entry must be flagged in red and routed to dw-suppression-motion.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Charges &amp; Exposure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Charges (with LA statutory citations)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Maximum Penalty (per count)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Elements the Prosecution Must Prove (per count)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Mandatory Minimums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Habitual Offender Exposure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Responsive Verdicts (per charge)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Arraignment &amp; Bail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Arraignment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Charges Read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Prosecutor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Judge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Entered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Bail Status (ROR/REMAND/BAIL SET)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Amount(s)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Conditions of Release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Case-Specific Defenses (Repeat for each defense)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Defense Theory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Supporting Evidence/Document (with Bate stamp reference)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Constitutional Issues Flagged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Factual Weaknesses in State's Case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Affirmative Defenses Supported by Facts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Recommendation for Attorney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Client Background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Prior Criminal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Family/Home Life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Educational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Employment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Medical/Mental Health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Military Service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Key Dates &amp; Next Steps</w:t>
            </w:r>
          </w:p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Key Dates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Capture every confirmed past or upcoming date relevant to the case. Past events stay in the table — do not delete them; together they form the case timeline at a glance. Sort chronologically. Where a date is calculated rather than documented (e.g., Art. 701 release date), state the calculation in the Source cell.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Event Description</w:t>
            </w:r>
          </w:p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Source</w:t>
            </w:r>
          </w:p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57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</w:tbl>
    <w:p>
      <w:pPr>
        <w:spacing w:after="120" w:before="240"/>
      </w:pPr>
      <w:r>
        <w:rPr>
          <w:rFonts w:ascii="Calibri" w:hAnsi="Calibri"/>
          <w:b/>
          <w:color w:val="C62828"/>
          <w:sz w:val="24"/>
        </w:rPr>
        <w:t>High Priority Next Steps</w:t>
      </w:r>
    </w:p>
    <w:p>
      <w:pPr>
        <w:spacing w:after="120" w:before="120"/>
      </w:pPr>
      <w:r>
        <w:rPr>
          <w:rFonts w:ascii="Calibri" w:hAnsi="Calibri"/>
          <w:i/>
          <w:color w:val="C62828"/>
          <w:sz w:val="20"/>
        </w:rPr>
        <w:t xml:space="preserve">Cowork-prepopulated, attorney-finalized list of the highest-priority case actions that should happen next. Each row: Step (what to do), Why High Priority (deadline, statutory clock, evidentiary risk, or strategic value), Owner (Attorney/Investigator/Cowork/Staff), Routing (specialist skill or workflow), Target Date. Rank High/Medium/Low. Move completed steps to the Case Brain Completed log rather than deleting, so the audit trail survives.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2160"/>
        <w:gridCol w:w="1080"/>
        <w:gridCol w:w="1980"/>
        <w:gridCol w:w="1440"/>
      </w:tblGrid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Why High Priority</w:t>
            </w:r>
          </w:p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Routing</w:t>
            </w:r>
          </w:p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Target Date</w:t>
            </w:r>
          </w:p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  <w:tr>
        <w:tc>
          <w:tcPr>
            <w:tcW w:type="dxa" w:w="270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216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0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98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  <w:tc>
          <w:tcPr>
            <w:tcW w:type="dxa" w:w="1440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/>
          </w:tcPr>
          <w:p/>
        </w:tc>
      </w:tr>
    </w:tbl>
    <w:p>
      <w:pPr>
        <w:jc w:val="center"/>
      </w:pPr>
      <w:r>
        <w:rPr>
          <w:b/>
          <w:sz w:val="28"/>
        </w:rPr>
        <w:t>PART 2 — CASE-TYPE SPECIFIC REVIEW SHEET</w:t>
      </w:r>
    </w:p>
    <w:p>
      <w:pPr>
        <w:jc w:val="center"/>
      </w:pPr>
      <w:r>
        <w:rPr>
          <w:sz w:val="22"/>
        </w:rPr>
        <w:t>Complete ONE of the following based on case type:</w:t>
      </w:r>
    </w:p>
    <w:p>
      <w:pPr>
        <w:jc w:val="center"/>
      </w:pPr>
      <w:r>
        <w:rPr>
          <w:sz w:val="22"/>
        </w:rPr>
        <w:t>☐ Part 2A — LWOP Homicide   (Calcasieu PDO required for LWOP-exposure homicide cases)</w:t>
        <w:br/>
        <w:t>☐ Part 2B — LWOP Sex Offense   (Calcasieu PDO required for LWOP-exposure sex offense cases; resubmit every 30 days)</w:t>
        <w:br/>
        <w:t>☐ Part 2C — Other Felony   (Non-LWOP felony cases)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2A — LWOP HOMICIDE REVIEW SHEET</w:t>
      </w:r>
    </w:p>
    <w:p>
      <w:pPr>
        <w:jc w:val="left"/>
      </w:pPr>
      <w:r>
        <w:rPr>
          <w:i/>
          <w:sz w:val="20"/>
        </w:rPr>
        <w:t>Calcasieu Parish PDO requirement — to be submitted to the District Defender. Complete ONLY if case carries LWOP exposure on a homicide charge.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 (LWOP Review)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Homicide-Specific Case Facts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(place * by name of deceased)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Aggravating Factors (La. C.Cr.P. art. 905.4 — specific alleged acts)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 — witness, who took statement, date/time, summary; bold quotes; note inconsistencies)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 (times, locations, officer actions)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(Homicide)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Autopsy — Performed by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Autopsy — Date first read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Deceased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 (DNA, ballistics, digital forensics)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jc w:val="center"/>
      </w:pPr>
      <w:r>
        <w:rPr>
          <w:i/>
          <w:sz w:val="20"/>
        </w:rPr>
        <w:t>Submission: To be submitted to the District Defender.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2B — LWOP SEX OFFENSE REVIEW SHEET</w:t>
      </w:r>
    </w:p>
    <w:p>
      <w:pPr>
        <w:jc w:val="left"/>
      </w:pPr>
      <w:r>
        <w:rPr>
          <w:i/>
          <w:sz w:val="20"/>
        </w:rPr>
        <w:t>Calcasieu Parish PDO requirement — to be submitted to the District Defender 30 days after appointment and every consecutive 30 days. Complete ONLY if case carries LWOP exposure on a sex offense charge.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 (LWOP Review)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Sex Offense-Specific Case Facts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(include ages &amp; dates of birth)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Aggravating Factors (age of victim, relationship, use of force, threats, position of trust/authority)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(Sex Offense)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Exam — Performed by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Exam — Date first read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CAC Video — Is it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CAC Video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Accuser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jc w:val="center"/>
      </w:pPr>
      <w:r>
        <w:rPr>
          <w:i/>
          <w:sz w:val="20"/>
        </w:rPr>
        <w:t>Submission: To be submitted to the District Defender 30 days after appointment and again every consecutive 30 days.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2C — OTHER FELONY CASE REVIEW SHEET</w:t>
      </w:r>
    </w:p>
    <w:p>
      <w:pPr>
        <w:jc w:val="left"/>
      </w:pPr>
      <w:r>
        <w:rPr>
          <w:i/>
          <w:sz w:val="20"/>
        </w:rPr>
        <w:t>For non-LWOP felony cases. Captures case-development detail without District Defender submission requirement and without homicide- or sex-offense-specific evidence categories.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Felony Case Specifics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/ Complainant(s) (if applicable)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(General Felony)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Physical Evidence Inventory (weapons, drugs, paraphernalia, clothing, etc.)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 (DNA, toxicology, ballistics, drug analysis, digital forensics)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Victim/Complainant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