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Reports:</w:t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Report 1: Supplier delivery variance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With the 3 suppliers, it was found that: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Tube Masters was consistent throughout the majority of the year, with one minor incident in June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Label Machine was consistent in the mid-year but tends to lose traction at the end of the year, carrying that trend  into the next, until  tapering off to that mid-year flow</w:t>
        <w:br w:type="textWrapping"/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32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Bottling Co. is consistently erratic with deliveries, a problem that needs to be addressed either through a price adjustment or a supplier pivot.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32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29594" cy="33561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594" cy="3356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3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3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  <w:t xml:space="preserve">Report 2:</w:t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With the 4 Wine Types, it was found that: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Wine World(Chardonnay)  and Wine Sellar(Merlot) were best sellers, selling a combined  11265 cases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With Boujee Booze  and good spirits only selling a combined 1780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320" w:lineRule="auto"/>
        <w:ind w:left="720" w:hanging="360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</w:rPr>
        <w:drawing>
          <wp:inline distB="19050" distT="19050" distL="19050" distR="19050">
            <wp:extent cx="4329550" cy="2597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550" cy="259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t xml:space="preserve">kkhggg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Report 3:</w:t>
      </w:r>
    </w:p>
    <w:p w:rsidR="00000000" w:rsidDel="00000000" w:rsidP="00000000" w:rsidRDefault="00000000" w:rsidRPr="00000000" w14:paraId="00000027">
      <w:pPr>
        <w:widowControl w:val="0"/>
        <w:spacing w:after="3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Based on the average 40 hr work week, it can be said that: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Management has been working longer hours than production employees 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t xml:space="preserve">The production manager has  been taking time off, allowing Ken Greener to fill in as leadership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320" w:lineRule="auto"/>
        <w:ind w:left="72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All hourly employees are clocking the standard amount, barring several outliers</w:t>
      </w:r>
    </w:p>
    <w:p w:rsidR="00000000" w:rsidDel="00000000" w:rsidP="00000000" w:rsidRDefault="00000000" w:rsidRPr="00000000" w14:paraId="0000002B">
      <w:pPr>
        <w:widowControl w:val="0"/>
        <w:spacing w:after="32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