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Summary of case study: Operation inversion at LinkedIn (2011)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case study describes the LinkedIn initial roll-out and the problems that came with the scale of their user base. The way they overcame this issue of scale was by pausing production and upgrade efforts to strengthen their architectural foundation. This approach, rather than focusing on shiny new features and rollouts to keep clients interested, led to dedicated efforts to invigorate the underlying structure. This approach was met with some criticism but ultimately worked out in the long term. It proves that technical debt is real, and neglecting architecture and scaling before going public can have consequences down the line. LinkedIn, as a company, moved away from a mass accrual of technical debt to a culture that seeks to avoid the near-death experience they almost encountered through diligent daily work. The main point made in the case study is that culture can shift, relying on shiny features and rapid deployment while neglecting its base, which can result in greater threats down the line, but can be avoided through inventory and a cultural shift.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rtl w:val="0"/>
        </w:rPr>
        <w:t xml:space="preserve">Lessons learned:</w:t>
        <w:br w:type="textWrapping"/>
        <w:br w:type="textWrapping"/>
      </w:r>
      <w:r w:rsidDel="00000000" w:rsidR="00000000" w:rsidRPr="00000000">
        <w:rPr>
          <w:i w:val="1"/>
          <w:iCs w:val="1"/>
          <w:rtl w:val="0"/>
        </w:rPr>
        <w:t xml:space="preserve">Be prepared to commit</w:t>
      </w:r>
      <w:r w:rsidDel="00000000" w:rsidR="00000000" w:rsidRPr="00000000">
        <w:rPr>
          <w:rtl w:val="0"/>
        </w:rPr>
        <w:t xml:space="preserve">.</w:t>
        <w:br w:type="textWrapping"/>
        <w:br w:type="textWrapping"/>
        <w:t xml:space="preserve">By disrupting their deployment infrastructure, LinkedIn had to commit to their choice of finishing and making a robust platform</w:t>
        <w:br w:type="textWrapping"/>
        <w:br w:type="textWrapping"/>
      </w:r>
      <w:r w:rsidDel="00000000" w:rsidR="00000000" w:rsidRPr="00000000">
        <w:rPr>
          <w:i w:val="1"/>
          <w:iCs w:val="1"/>
          <w:rtl w:val="0"/>
        </w:rPr>
        <w:t xml:space="preserve">Feature freeze has its merits.</w:t>
      </w:r>
      <w:r w:rsidDel="00000000" w:rsidR="00000000" w:rsidRPr="00000000">
        <w:rPr>
          <w:rtl w:val="0"/>
        </w:rPr>
        <w:br w:type="textWrapping"/>
        <w:t xml:space="preserve">By bringing the entire engineering team together to resolve technical debt, the infrastructure that was developed was scalable and robust. Developers went from excess crunch to rolling out site upgrades multiple times a day through optimized workflow </w:t>
        <w:br w:type="textWrapping"/>
        <w:br w:type="textWrapping"/>
      </w:r>
      <w:r w:rsidDel="00000000" w:rsidR="00000000" w:rsidRPr="00000000">
        <w:rPr>
          <w:i w:val="1"/>
          <w:iCs w:val="1"/>
          <w:rtl w:val="0"/>
        </w:rPr>
        <w:t xml:space="preserve">Developer productivity needs to be priority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Prioritizing infrastructure and resources that can scale is not an option or a luxury; it is an essential and optimal use of developer time at the ground level and can make or break a product long term.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Finally, when enough tech debt has been accrued, a shift in culture may be just what is needed.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