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Chanceller waters</w:t>
        <w:br w:type="textWrapping"/>
        <w:br w:type="textWrapping"/>
        <w:t xml:space="preserve">Case study: Strangler fig pattern at Blackboard Learn (2011)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case study goes into detail about how Blackboard, rather than stick to the tenuous balance they had with their legacy system, enacted the strangler fig pattern in their re-architecture efforts. This pattern involves building and integrating code around an active or legacy system while discontinuing parts. The main point of this case study is that times change, and so must the code base if it was not built for or with the future. A method to do that is through incremental changes to an active system. It allows for the simultaneous generation of “building blocks”  that take over in place of the previous system while it is being brought up to the modern specs and taken offline.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Lesson learned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lesson to be learned is that through the utilization of this pattern, a legacy system can be modernized and built around rather than just relying on “well, it works” or “it was like that when I got here.” it is a coding practice that emulates nature; using existing architecture that works, but it's unwanted to support the creation of something new.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