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80"/>
        <w:jc w:val="center"/>
      </w:pPr>
      <w:r>
        <w:rPr>
          <w:rFonts w:ascii="Arial" w:cs="Arial" w:eastAsia="Arial" w:hAnsi="Arial"/>
          <w:b/>
          <w:bCs/>
          <w:color w:val="2E74B5"/>
          <w:sz w:val="56"/>
          <w:szCs w:val="56"/>
        </w:rPr>
        <w:t xml:space="preserve">CANSLIM Trading System</w:t>
      </w:r>
    </w:p>
    <w:p>
      <w:pPr>
        <w:spacing w:after="200"/>
        <w:jc w:val="center"/>
      </w:pPr>
      <w:r>
        <w:rPr>
          <w:rFonts w:ascii="Arial" w:cs="Arial" w:eastAsia="Arial" w:hAnsi="Arial"/>
          <w:color w:val="333333"/>
          <w:sz w:val="36"/>
          <w:szCs w:val="36"/>
        </w:rPr>
        <w:t xml:space="preserve">User Guide</w:t>
      </w:r>
    </w:p>
    <w:p>
      <w:pPr>
        <w:spacing w:after="120"/>
      </w:pPr>
    </w:p>
    <w:p>
      <w:pPr>
        <w:spacing w:after="80"/>
        <w:jc w:val="center"/>
      </w:pPr>
      <w:r>
        <w:rPr>
          <w:rFonts w:ascii="Arial" w:cs="Arial" w:eastAsia="Arial" w:hAnsi="Arial"/>
          <w:b/>
          <w:bCs/>
          <w:color w:val="2E74B5"/>
          <w:sz w:val="40"/>
          <w:szCs w:val="40"/>
        </w:rPr>
        <w:t xml:space="preserve">Part IV: The Complete Trading Workflow</w:t>
      </w:r>
    </w:p>
    <w:p>
      <w:pPr>
        <w:spacing w:after="80"/>
        <w:jc w:val="center"/>
      </w:pPr>
      <w:r>
        <w:rPr>
          <w:rFonts w:ascii="Arial" w:cs="Arial" w:eastAsia="Arial" w:hAnsi="Arial"/>
          <w:i/>
          <w:iCs/>
          <w:color w:val="333333"/>
          <w:sz w:val="26"/>
          <w:szCs w:val="26"/>
        </w:rPr>
        <w:t xml:space="preserve">From Breakout Alert to Closed Position</w:t>
      </w:r>
    </w:p>
    <w:p>
      <w:pPr>
        <w:spacing w:after="120"/>
      </w:pPr>
    </w:p>
    <w:p>
      <w:pPr>
        <w:spacing w:after="120"/>
      </w:pPr>
    </w:p>
    <w:p>
      <w:pPr>
        <w:spacing w:after="120"/>
      </w:pPr>
    </w:p>
    <w:p>
      <w:pPr>
        <w:spacing w:after="80"/>
        <w:jc w:val="center"/>
      </w:pPr>
      <w:r>
        <w:rPr>
          <w:rFonts w:ascii="Arial" w:cs="Arial" w:eastAsia="Arial" w:hAnsi="Arial"/>
          <w:color w:val="999999"/>
          <w:sz w:val="22"/>
          <w:szCs w:val="22"/>
        </w:rPr>
        <w:t xml:space="preserve">Version 1.0 | February 2026</w:t>
      </w:r>
    </w:p>
    <w:p>
      <w:r>
        <w:br w:type="page"/>
      </w:r>
    </w:p>
    <w:p>
      <w:pPr>
        <w:pStyle w:val="Heading1"/>
        <w:spacing w:before="360" w:after="200"/>
      </w:pPr>
      <w:r>
        <w:rPr>
          <w:rFonts w:ascii="Arial" w:cs="Arial" w:eastAsia="Arial" w:hAnsi="Arial"/>
          <w:color w:val="2E74B5"/>
          <w:sz w:val="32"/>
          <w:szCs w:val="32"/>
        </w:rPr>
        <w:t xml:space="preserve">Chapter 15: Executing the Initial Entry</w:t>
      </w:r>
    </w:p>
    <w:p>
      <w:pPr>
        <w:spacing w:after="200" w:line="276"/>
      </w:pPr>
      <w:r>
        <w:rPr>
          <w:rFonts w:ascii="Arial" w:cs="Arial" w:eastAsia="Arial" w:hAnsi="Arial"/>
          <w:color w:val="333333"/>
          <w:sz w:val="22"/>
          <w:szCs w:val="22"/>
        </w:rPr>
        <w:t xml:space="preserve">You have received a breakout alert on Discord. The stock crossed above its pivot on volume 40% or more above the 50-day average. The scoring engine assigned it an A grade. The market is in a confirmed uptrend. Everything you have learned in Parts I through III has converged into this moment. What exactly do you do?</w:t>
      </w:r>
    </w:p>
    <w:p>
      <w:pPr>
        <w:spacing w:after="200" w:line="276"/>
      </w:pPr>
      <w:r>
        <w:rPr>
          <w:rFonts w:ascii="Arial" w:cs="Arial" w:eastAsia="Arial" w:hAnsi="Arial"/>
          <w:color w:val="333333"/>
          <w:sz w:val="22"/>
          <w:szCs w:val="22"/>
        </w:rPr>
        <w:t xml:space="preserve">This chapter walks you through the complete execution process, from adding a stock to your watchlist through the alert arriving on your phone to the order filling in your brokerage account. It begins with how to enter a stock into the system and score its setup quality, then covers the pre-entry checklist, order execution, and recording the trade. The goal is to turn each step into a disciplined, repeatable action rather than a panicked scramble.</w:t>
      </w:r>
    </w:p>
    <w:p>
      <w:pPr>
        <w:pStyle w:val="Heading2"/>
        <w:spacing w:before="300" w:after="180"/>
      </w:pPr>
      <w:r>
        <w:rPr>
          <w:rFonts w:ascii="Arial" w:cs="Arial" w:eastAsia="Arial" w:hAnsi="Arial"/>
          <w:color w:val="2E74B5"/>
          <w:sz w:val="26"/>
          <w:szCs w:val="26"/>
        </w:rPr>
        <w:t xml:space="preserve">15.0 Adding a Stock to the Watchlist</w:t>
      </w:r>
    </w:p>
    <w:p>
      <w:pPr>
        <w:spacing w:after="200" w:line="276"/>
      </w:pPr>
      <w:r>
        <w:rPr>
          <w:rFonts w:ascii="Arial" w:cs="Arial" w:eastAsia="Arial" w:hAnsi="Arial"/>
          <w:color w:val="333333"/>
          <w:sz w:val="22"/>
          <w:szCs w:val="22"/>
        </w:rPr>
        <w:t xml:space="preserve">Before a stock can generate breakout alerts, it must exist in the system as a State 0 (Watching) position. This section explains how to evaluate a candidate stock, score its setup quality, and enter it into the GUI with all the data the system needs to monitor it effectively. This is the critical first step in the trading workflow: without a properly configured watchlist entry, the breakout thread has nothing to monitor.</w:t>
      </w:r>
    </w:p>
    <w:p>
      <w:pPr>
        <w:pStyle w:val="Heading3"/>
        <w:spacing w:before="240" w:after="160"/>
      </w:pPr>
      <w:r>
        <w:rPr>
          <w:rFonts w:ascii="Arial" w:cs="Arial" w:eastAsia="Arial" w:hAnsi="Arial"/>
          <w:color w:val="1F4D78"/>
          <w:sz w:val="24"/>
          <w:szCs w:val="24"/>
        </w:rPr>
        <w:t xml:space="preserve">The Two Paths to Adding a Stock</w:t>
      </w:r>
    </w:p>
    <w:p>
      <w:pPr>
        <w:spacing w:after="200" w:line="276"/>
      </w:pPr>
      <w:r>
        <w:rPr>
          <w:rFonts w:ascii="Arial" w:cs="Arial" w:eastAsia="Arial" w:hAnsi="Arial"/>
          <w:color w:val="333333"/>
          <w:sz w:val="22"/>
          <w:szCs w:val="22"/>
        </w:rPr>
        <w:t xml:space="preserve">The GUI provides two paths for adding a stock to the watchlist, both accessible from the Position menu in the menu bar.</w:t>
      </w:r>
    </w:p>
    <w:p>
      <w:pPr>
        <w:spacing w:after="200" w:line="276"/>
      </w:pPr>
      <w:r>
        <w:rPr>
          <w:rFonts w:ascii="Arial" w:cs="Arial" w:eastAsia="Arial" w:hAnsi="Arial"/>
          <w:color w:val="333333"/>
          <w:sz w:val="22"/>
          <w:szCs w:val="22"/>
        </w:rPr>
        <w:t xml:space="preserve">The first and recommended path is Score Symbol (Ctrl+Shift+S). This opens the Score Preview dialog, where you enter the stock’s base characteristics and calculate its CANSLIM entry grade before committing to add it. If the grade meets your standards, clicking “Add to Watchlist” carries the scored data forward into the Add Position dialog with fields pre-populated. This path ensures you never add a stock without first knowing its grade.</w:t>
      </w:r>
    </w:p>
    <w:p>
      <w:pPr>
        <w:spacing w:after="200" w:line="276"/>
      </w:pPr>
      <w:r>
        <w:rPr>
          <w:rFonts w:ascii="Arial" w:cs="Arial" w:eastAsia="Arial" w:hAnsi="Arial"/>
          <w:color w:val="333333"/>
          <w:sz w:val="22"/>
          <w:szCs w:val="22"/>
        </w:rPr>
        <w:t xml:space="preserve">The second path is Add to Watchlist (Ctrl+N), which opens the Add Position dialog directly. Use this path when you have already evaluated the stock externally (in MarketSurge, for example) and simply need to enter it into the system. All fields are blank and must be entered manually.</w:t>
      </w:r>
    </w:p>
    <w:p>
      <w:pPr>
        <w:pStyle w:val="Heading3"/>
        <w:spacing w:before="240" w:after="160"/>
      </w:pPr>
      <w:r>
        <w:rPr>
          <w:rFonts w:ascii="Arial" w:cs="Arial" w:eastAsia="Arial" w:hAnsi="Arial"/>
          <w:color w:val="1F4D78"/>
          <w:sz w:val="24"/>
          <w:szCs w:val="24"/>
        </w:rPr>
        <w:t xml:space="preserve">Using the Score Preview Dialog</w:t>
      </w:r>
    </w:p>
    <w:p>
      <w:pPr>
        <w:spacing w:after="200" w:line="276"/>
      </w:pPr>
      <w:r>
        <w:rPr>
          <w:rFonts w:ascii="Arial" w:cs="Arial" w:eastAsia="Arial" w:hAnsi="Arial"/>
          <w:color w:val="333333"/>
          <w:sz w:val="22"/>
          <w:szCs w:val="22"/>
        </w:rPr>
        <w:t xml:space="preserve">Open the Score Preview dialog from Position → Score Symbol or press Ctrl+Shift+S. The dialog is modeless, meaning it stays open while you work in MarketSurge or other applications alongside it. Enter the following fields:</w:t>
      </w:r>
    </w:p>
    <w:p>
      <w:pPr>
        <w:spacing w:after="200" w:line="276"/>
      </w:pPr>
      <w:r>
        <w:rPr>
          <w:rFonts w:ascii="Arial" w:cs="Arial" w:eastAsia="Arial" w:hAnsi="Arial"/>
          <w:color w:val="333333"/>
          <w:sz w:val="22"/>
          <w:szCs w:val="22"/>
        </w:rPr>
        <w:t xml:space="preserve">Symbol (optional but recommended): Enter the ticker symbol. When IBKR is connected, the system can fetch dynamic factors such as relative volume and moving average positioning to supplement the static score. If left blank, scoring is based only on the static factors you enter manually.</w:t>
      </w:r>
    </w:p>
    <w:p>
      <w:pPr>
        <w:spacing w:after="200" w:line="276"/>
      </w:pPr>
      <w:r>
        <w:rPr>
          <w:rFonts w:ascii="Arial" w:cs="Arial" w:eastAsia="Arial" w:hAnsi="Arial"/>
          <w:color w:val="333333"/>
          <w:sz w:val="22"/>
          <w:szCs w:val="22"/>
        </w:rPr>
        <w:t xml:space="preserve">Pattern: Select the base pattern from the dropdown. Valid patterns include Cup w/Handle, Cup, Flat Base, Double Bottom, High Tight Flag, Ascending Base, IPO Base, Consolidation, Saucer, Saucer w/Handle, 3 Weeks Tight, and Shakeout +3. The pattern type directly affects the score; Cup w/Handle and Double Bottom score highest.</w:t>
      </w:r>
    </w:p>
    <w:p>
      <w:pPr>
        <w:spacing w:after="200" w:line="276"/>
      </w:pPr>
      <w:r>
        <w:rPr>
          <w:rFonts w:ascii="Arial" w:cs="Arial" w:eastAsia="Arial" w:hAnsi="Arial"/>
          <w:color w:val="333333"/>
          <w:sz w:val="22"/>
          <w:szCs w:val="22"/>
        </w:rPr>
        <w:t xml:space="preserve">Pivot Price (optional): Enter the precise breakout pivot level. When both a symbol and pivot are provided and IBKR is connected, the system calculates dynamic factors: how far the current price is from the pivot, whether the stock is above key moving averages, and the current relative volume.</w:t>
      </w:r>
    </w:p>
    <w:p>
      <w:pPr>
        <w:spacing w:after="200" w:line="276"/>
      </w:pPr>
      <w:r>
        <w:rPr>
          <w:rFonts w:ascii="Arial" w:cs="Arial" w:eastAsia="Arial" w:hAnsi="Arial"/>
          <w:color w:val="333333"/>
          <w:sz w:val="22"/>
          <w:szCs w:val="22"/>
        </w:rPr>
        <w:t xml:space="preserve">Base Stage: Select the base stage from the dropdown (1, 2, 3, 4+, Late, and sub-stages like 2(2), 3(3), etc.). Stage 1 and Stage 2 bases score highest. Later-stage bases receive progressively lower scores reflecting the increased risk of failure as institutional accumulation matures.</w:t>
      </w:r>
    </w:p>
    <w:p>
      <w:pPr>
        <w:spacing w:after="200" w:line="276"/>
      </w:pPr>
      <w:r>
        <w:rPr>
          <w:rFonts w:ascii="Arial" w:cs="Arial" w:eastAsia="Arial" w:hAnsi="Arial"/>
          <w:color w:val="333333"/>
          <w:sz w:val="22"/>
          <w:szCs w:val="22"/>
        </w:rPr>
        <w:t xml:space="preserve">Base Depth: Enter the percentage correction from peak to trough within the base. Ideal depths range from 12% to 33% in normal markets; deeper corrections are acceptable during broad market declines. The scoring engine evaluates depth relative to the current market environment.</w:t>
      </w:r>
    </w:p>
    <w:p>
      <w:pPr>
        <w:spacing w:after="200" w:line="276"/>
      </w:pPr>
      <w:r>
        <w:rPr>
          <w:rFonts w:ascii="Arial" w:cs="Arial" w:eastAsia="Arial" w:hAnsi="Arial"/>
          <w:color w:val="333333"/>
          <w:sz w:val="22"/>
          <w:szCs w:val="22"/>
        </w:rPr>
        <w:t xml:space="preserve">Base Length: Enter the duration of the base in weeks. A minimum of five to seven weeks is required for a proper base; longer bases of 13 or more weeks suggest more thorough institutional accumulation.</w:t>
      </w:r>
    </w:p>
    <w:p>
      <w:pPr>
        <w:spacing w:after="200" w:line="276"/>
      </w:pPr>
      <w:r>
        <w:rPr>
          <w:rFonts w:ascii="Arial" w:cs="Arial" w:eastAsia="Arial" w:hAnsi="Arial"/>
          <w:color w:val="333333"/>
          <w:sz w:val="22"/>
          <w:szCs w:val="22"/>
        </w:rPr>
        <w:t xml:space="preserve">RS Rating: Enter the IBD Relative Strength Rating from MarketSurge (1–99 scale). This is the single most predictive factor in the scoring engine. Stocks with RS 90 or above show 75% success rates in backtesting; stocks below RS 70 show 0% success rates. The scoring engine applies an RS floor: any stock below RS 70 is automatically capped at grade C regardless of other factors.</w:t>
      </w:r>
    </w:p>
    <w:p>
      <w:pPr>
        <w:spacing w:after="200" w:line="276"/>
      </w:pPr>
      <w:r>
        <w:rPr>
          <w:rFonts w:ascii="Arial" w:cs="Arial" w:eastAsia="Arial" w:hAnsi="Arial"/>
          <w:color w:val="333333"/>
          <w:sz w:val="22"/>
          <w:szCs w:val="22"/>
        </w:rPr>
        <w:t xml:space="preserve">Click “Calculate Score” to see the entry grade (A+ through F), the numeric score, and a detailed breakdown of how each factor contributed. The dialog also fetches and displays the next earnings date from Polygon, with color-coded warnings based on proximity: green for 30+ days away, amber for 14–30 days, and red for fewer than 14 days.</w:t>
      </w:r>
    </w:p>
    <w:p>
      <w:pPr>
        <w:spacing w:after="200" w:line="276"/>
      </w:pPr>
      <w:r>
        <w:rPr>
          <w:rFonts w:ascii="Arial" w:cs="Arial" w:eastAsia="Arial" w:hAnsi="Arial"/>
          <w:color w:val="333333"/>
          <w:sz w:val="22"/>
          <w:szCs w:val="22"/>
        </w:rPr>
        <w:t xml:space="preserve">If the grade meets your criteria, click “Add to Watchlist” to carry all scored data into the Add Position dialog with fields pre-populated.</w:t>
      </w:r>
    </w:p>
    <w:p>
      <w:pPr>
        <w:pStyle w:val="Heading3"/>
        <w:spacing w:before="240" w:after="160"/>
      </w:pPr>
      <w:r>
        <w:rPr>
          <w:rFonts w:ascii="Arial" w:cs="Arial" w:eastAsia="Arial" w:hAnsi="Arial"/>
          <w:color w:val="1F4D78"/>
          <w:sz w:val="24"/>
          <w:szCs w:val="24"/>
        </w:rPr>
        <w:t xml:space="preserve">The Add Position Dialog: Field Reference</w:t>
      </w:r>
    </w:p>
    <w:p>
      <w:pPr>
        <w:spacing w:after="200" w:line="276"/>
      </w:pPr>
      <w:r>
        <w:rPr>
          <w:rFonts w:ascii="Arial" w:cs="Arial" w:eastAsia="Arial" w:hAnsi="Arial"/>
          <w:color w:val="333333"/>
          <w:sz w:val="22"/>
          <w:szCs w:val="22"/>
        </w:rPr>
        <w:t xml:space="preserve">The Add Position dialog is the primary data entry point for watchlist positions. It contains all fields the system uses for monitoring, scoring, and eventual outcome analysis. Fields are organized into groups. The required fields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shd w:val="clear" w:fill="D5E8F0"/>
          </w:tcPr>
          <w:p>
            <w:pPr>
              <w:spacing w:after="60"/>
            </w:pPr>
            <w:r>
              <w:rPr>
                <w:rFonts w:ascii="Arial" w:cs="Arial" w:eastAsia="Arial" w:hAnsi="Arial"/>
                <w:b/>
                <w:sz w:val="20"/>
                <w:szCs w:val="20"/>
              </w:rPr>
              <w:t xml:space="preserve">Field</w:t>
            </w:r>
          </w:p>
        </w:tc>
        <w:tc>
          <w:tcPr>
            <w:tcW w:type="dxa" w:w="3400"/>
            <w:shd w:val="clear" w:fill="D5E8F0"/>
          </w:tcPr>
          <w:p>
            <w:pPr>
              <w:spacing w:after="60"/>
            </w:pPr>
            <w:r>
              <w:rPr>
                <w:rFonts w:ascii="Arial" w:cs="Arial" w:eastAsia="Arial" w:hAnsi="Arial"/>
                <w:b/>
                <w:sz w:val="20"/>
                <w:szCs w:val="20"/>
              </w:rPr>
              <w:t xml:space="preserve">Description</w:t>
            </w:r>
          </w:p>
        </w:tc>
        <w:tc>
          <w:tcPr>
            <w:tcW w:type="dxa" w:w="4360"/>
            <w:shd w:val="clear" w:fill="D5E8F0"/>
          </w:tcPr>
          <w:p>
            <w:pPr>
              <w:spacing w:after="60"/>
            </w:pPr>
            <w:r>
              <w:rPr>
                <w:rFonts w:ascii="Arial" w:cs="Arial" w:eastAsia="Arial" w:hAnsi="Arial"/>
                <w:b/>
                <w:sz w:val="20"/>
                <w:szCs w:val="20"/>
              </w:rPr>
              <w:t xml:space="preserve">Where to Find It</w:t>
            </w:r>
          </w:p>
        </w:tc>
      </w:tr>
      <w:tr>
        <w:tc>
          <w:tcPr>
            <w:tcW w:type="dxa" w:w="1600"/>
          </w:tcPr>
          <w:p>
            <w:pPr>
              <w:spacing w:after="60"/>
            </w:pPr>
            <w:r>
              <w:rPr>
                <w:rFonts w:ascii="Arial" w:cs="Arial" w:eastAsia="Arial" w:hAnsi="Arial"/>
                <w:sz w:val="20"/>
                <w:szCs w:val="20"/>
              </w:rPr>
              <w:t xml:space="preserve">Symbol</w:t>
            </w:r>
          </w:p>
        </w:tc>
        <w:tc>
          <w:tcPr>
            <w:tcW w:type="dxa" w:w="3400"/>
          </w:tcPr>
          <w:p>
            <w:pPr>
              <w:spacing w:after="60"/>
            </w:pPr>
            <w:r>
              <w:rPr>
                <w:rFonts w:ascii="Arial" w:cs="Arial" w:eastAsia="Arial" w:hAnsi="Arial"/>
                <w:sz w:val="20"/>
                <w:szCs w:val="20"/>
              </w:rPr>
              <w:t xml:space="preserve">Stock ticker (auto-converted to uppercase)</w:t>
            </w:r>
          </w:p>
        </w:tc>
        <w:tc>
          <w:tcPr>
            <w:tcW w:type="dxa" w:w="4360"/>
          </w:tcPr>
          <w:p>
            <w:pPr>
              <w:spacing w:after="60"/>
            </w:pPr>
            <w:r>
              <w:rPr>
                <w:rFonts w:ascii="Arial" w:cs="Arial" w:eastAsia="Arial" w:hAnsi="Arial"/>
                <w:sz w:val="20"/>
                <w:szCs w:val="20"/>
              </w:rPr>
              <w:t xml:space="preserve">MarketSurge chart header</w:t>
            </w:r>
          </w:p>
        </w:tc>
      </w:tr>
      <w:tr>
        <w:tc>
          <w:tcPr>
            <w:tcW w:type="dxa" w:w="1600"/>
          </w:tcPr>
          <w:p>
            <w:pPr>
              <w:spacing w:after="60"/>
            </w:pPr>
            <w:r>
              <w:rPr>
                <w:rFonts w:ascii="Arial" w:cs="Arial" w:eastAsia="Arial" w:hAnsi="Arial"/>
                <w:sz w:val="20"/>
                <w:szCs w:val="20"/>
              </w:rPr>
              <w:t xml:space="preserve">Pattern</w:t>
            </w:r>
          </w:p>
        </w:tc>
        <w:tc>
          <w:tcPr>
            <w:tcW w:type="dxa" w:w="3400"/>
          </w:tcPr>
          <w:p>
            <w:pPr>
              <w:spacing w:after="60"/>
            </w:pPr>
            <w:r>
              <w:rPr>
                <w:rFonts w:ascii="Arial" w:cs="Arial" w:eastAsia="Arial" w:hAnsi="Arial"/>
                <w:sz w:val="20"/>
                <w:szCs w:val="20"/>
              </w:rPr>
              <w:t xml:space="preserve">Base pattern type from dropdown</w:t>
            </w:r>
          </w:p>
        </w:tc>
        <w:tc>
          <w:tcPr>
            <w:tcW w:type="dxa" w:w="4360"/>
          </w:tcPr>
          <w:p>
            <w:pPr>
              <w:spacing w:after="60"/>
            </w:pPr>
            <w:r>
              <w:rPr>
                <w:rFonts w:ascii="Arial" w:cs="Arial" w:eastAsia="Arial" w:hAnsi="Arial"/>
                <w:sz w:val="20"/>
                <w:szCs w:val="20"/>
              </w:rPr>
              <w:t xml:space="preserve">MarketSurge weekly chart analysis</w:t>
            </w:r>
          </w:p>
        </w:tc>
      </w:tr>
      <w:tr>
        <w:tc>
          <w:tcPr>
            <w:tcW w:type="dxa" w:w="1600"/>
          </w:tcPr>
          <w:p>
            <w:pPr>
              <w:spacing w:after="60"/>
            </w:pPr>
            <w:r>
              <w:rPr>
                <w:rFonts w:ascii="Arial" w:cs="Arial" w:eastAsia="Arial" w:hAnsi="Arial"/>
                <w:sz w:val="20"/>
                <w:szCs w:val="20"/>
              </w:rPr>
              <w:t xml:space="preserve">Pivot Price</w:t>
            </w:r>
          </w:p>
        </w:tc>
        <w:tc>
          <w:tcPr>
            <w:tcW w:type="dxa" w:w="3400"/>
          </w:tcPr>
          <w:p>
            <w:pPr>
              <w:spacing w:after="60"/>
            </w:pPr>
            <w:r>
              <w:rPr>
                <w:rFonts w:ascii="Arial" w:cs="Arial" w:eastAsia="Arial" w:hAnsi="Arial"/>
                <w:sz w:val="20"/>
                <w:szCs w:val="20"/>
              </w:rPr>
              <w:t xml:space="preserve">Precise breakout level (pivot + $0.10)</w:t>
            </w:r>
          </w:p>
        </w:tc>
        <w:tc>
          <w:tcPr>
            <w:tcW w:type="dxa" w:w="4360"/>
          </w:tcPr>
          <w:p>
            <w:pPr>
              <w:spacing w:after="60"/>
            </w:pPr>
            <w:r>
              <w:rPr>
                <w:rFonts w:ascii="Arial" w:cs="Arial" w:eastAsia="Arial" w:hAnsi="Arial"/>
                <w:sz w:val="20"/>
                <w:szCs w:val="20"/>
              </w:rPr>
              <w:t xml:space="preserve">MarketSurge pattern recognition or manual identification</w:t>
            </w:r>
          </w:p>
        </w:tc>
      </w:tr>
      <w:tr>
        <w:tc>
          <w:tcPr>
            <w:tcW w:type="dxa" w:w="1600"/>
          </w:tcPr>
          <w:p>
            <w:pPr>
              <w:spacing w:after="60"/>
            </w:pPr>
            <w:r>
              <w:rPr>
                <w:rFonts w:ascii="Arial" w:cs="Arial" w:eastAsia="Arial" w:hAnsi="Arial"/>
                <w:sz w:val="20"/>
                <w:szCs w:val="20"/>
              </w:rPr>
              <w:t xml:space="preserve">Stop Loss %</w:t>
            </w:r>
          </w:p>
        </w:tc>
        <w:tc>
          <w:tcPr>
            <w:tcW w:type="dxa" w:w="3400"/>
          </w:tcPr>
          <w:p>
            <w:pPr>
              <w:spacing w:after="60"/>
            </w:pPr>
            <w:r>
              <w:rPr>
                <w:rFonts w:ascii="Arial" w:cs="Arial" w:eastAsia="Arial" w:hAnsi="Arial"/>
                <w:sz w:val="20"/>
                <w:szCs w:val="20"/>
              </w:rPr>
              <w:t xml:space="preserve">Maximum loss percentage (default 7%)</w:t>
            </w:r>
          </w:p>
        </w:tc>
        <w:tc>
          <w:tcPr>
            <w:tcW w:type="dxa" w:w="4360"/>
          </w:tcPr>
          <w:p>
            <w:pPr>
              <w:spacing w:after="60"/>
            </w:pPr>
            <w:r>
              <w:rPr>
                <w:rFonts w:ascii="Arial" w:cs="Arial" w:eastAsia="Arial" w:hAnsi="Arial"/>
                <w:sz w:val="20"/>
                <w:szCs w:val="20"/>
              </w:rPr>
              <w:t xml:space="preserve">Standard: 7–8% below pivot</w:t>
            </w:r>
          </w:p>
        </w:tc>
      </w:tr>
      <w:tr>
        <w:tc>
          <w:tcPr>
            <w:tcW w:type="dxa" w:w="1600"/>
          </w:tcPr>
          <w:p>
            <w:pPr>
              <w:spacing w:after="60"/>
            </w:pPr>
            <w:r>
              <w:rPr>
                <w:rFonts w:ascii="Arial" w:cs="Arial" w:eastAsia="Arial" w:hAnsi="Arial"/>
                <w:sz w:val="20"/>
                <w:szCs w:val="20"/>
              </w:rPr>
              <w:t xml:space="preserve">Portfolio</w:t>
            </w:r>
          </w:p>
        </w:tc>
        <w:tc>
          <w:tcPr>
            <w:tcW w:type="dxa" w:w="3400"/>
          </w:tcPr>
          <w:p>
            <w:pPr>
              <w:spacing w:after="60"/>
            </w:pPr>
            <w:r>
              <w:rPr>
                <w:rFonts w:ascii="Arial" w:cs="Arial" w:eastAsia="Arial" w:hAnsi="Arial"/>
                <w:sz w:val="20"/>
                <w:szCs w:val="20"/>
              </w:rPr>
              <w:t xml:space="preserve">Account assignment (Swing, Position, Paper)</w:t>
            </w:r>
          </w:p>
        </w:tc>
        <w:tc>
          <w:tcPr>
            <w:tcW w:type="dxa" w:w="4360"/>
          </w:tcPr>
          <w:p>
            <w:pPr>
              <w:spacing w:after="60"/>
            </w:pPr>
            <w:r>
              <w:rPr>
                <w:rFonts w:ascii="Arial" w:cs="Arial" w:eastAsia="Arial" w:hAnsi="Arial"/>
                <w:sz w:val="20"/>
                <w:szCs w:val="20"/>
              </w:rPr>
              <w:t xml:space="preserve">Your account structure</w:t>
            </w:r>
          </w:p>
        </w:tc>
      </w:tr>
    </w:tbl>
    <w:p>
      <w:pPr>
        <w:spacing w:after="200" w:line="276"/>
      </w:pPr>
      <w:r>
        <w:rPr>
          <w:rFonts w:ascii="Arial" w:cs="Arial" w:eastAsia="Arial" w:hAnsi="Arial"/>
          <w:color w:val="333333"/>
          <w:sz w:val="22"/>
          <w:szCs w:val="22"/>
        </w:rPr>
        <w:t xml:space="preserve">The base characteristics fields capture the technical quality of the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shd w:val="clear" w:fill="D5E8F0"/>
          </w:tcPr>
          <w:p>
            <w:pPr>
              <w:spacing w:after="60"/>
            </w:pPr>
            <w:r>
              <w:rPr>
                <w:rFonts w:ascii="Arial" w:cs="Arial" w:eastAsia="Arial" w:hAnsi="Arial"/>
                <w:b/>
                <w:sz w:val="20"/>
                <w:szCs w:val="20"/>
              </w:rPr>
              <w:t xml:space="preserve">Field</w:t>
            </w:r>
          </w:p>
        </w:tc>
        <w:tc>
          <w:tcPr>
            <w:tcW w:type="dxa" w:w="4000"/>
            <w:shd w:val="clear" w:fill="D5E8F0"/>
          </w:tcPr>
          <w:p>
            <w:pPr>
              <w:spacing w:after="60"/>
            </w:pPr>
            <w:r>
              <w:rPr>
                <w:rFonts w:ascii="Arial" w:cs="Arial" w:eastAsia="Arial" w:hAnsi="Arial"/>
                <w:b/>
                <w:sz w:val="20"/>
                <w:szCs w:val="20"/>
              </w:rPr>
              <w:t xml:space="preserve">Description</w:t>
            </w:r>
          </w:p>
        </w:tc>
        <w:tc>
          <w:tcPr>
            <w:tcW w:type="dxa" w:w="3760"/>
            <w:shd w:val="clear" w:fill="D5E8F0"/>
          </w:tcPr>
          <w:p>
            <w:pPr>
              <w:spacing w:after="60"/>
            </w:pPr>
            <w:r>
              <w:rPr>
                <w:rFonts w:ascii="Arial" w:cs="Arial" w:eastAsia="Arial" w:hAnsi="Arial"/>
                <w:b/>
                <w:sz w:val="20"/>
                <w:szCs w:val="20"/>
              </w:rPr>
              <w:t xml:space="preserve">Scoring Impact</w:t>
            </w:r>
          </w:p>
        </w:tc>
      </w:tr>
      <w:tr>
        <w:tc>
          <w:tcPr>
            <w:tcW w:type="dxa" w:w="1600"/>
          </w:tcPr>
          <w:p>
            <w:pPr>
              <w:spacing w:after="60"/>
            </w:pPr>
            <w:r>
              <w:rPr>
                <w:rFonts w:ascii="Arial" w:cs="Arial" w:eastAsia="Arial" w:hAnsi="Arial"/>
                <w:sz w:val="20"/>
                <w:szCs w:val="20"/>
              </w:rPr>
              <w:t xml:space="preserve">Base Stage</w:t>
            </w:r>
          </w:p>
        </w:tc>
        <w:tc>
          <w:tcPr>
            <w:tcW w:type="dxa" w:w="4000"/>
          </w:tcPr>
          <w:p>
            <w:pPr>
              <w:spacing w:after="60"/>
            </w:pPr>
            <w:r>
              <w:rPr>
                <w:rFonts w:ascii="Arial" w:cs="Arial" w:eastAsia="Arial" w:hAnsi="Arial"/>
                <w:sz w:val="20"/>
                <w:szCs w:val="20"/>
              </w:rPr>
              <w:t xml:space="preserve">Stage count (1, 2, 3, 4+, Late)</w:t>
            </w:r>
          </w:p>
        </w:tc>
        <w:tc>
          <w:tcPr>
            <w:tcW w:type="dxa" w:w="3760"/>
          </w:tcPr>
          <w:p>
            <w:pPr>
              <w:spacing w:after="60"/>
            </w:pPr>
            <w:r>
              <w:rPr>
                <w:rFonts w:ascii="Arial" w:cs="Arial" w:eastAsia="Arial" w:hAnsi="Arial"/>
                <w:sz w:val="20"/>
                <w:szCs w:val="20"/>
              </w:rPr>
              <w:t xml:space="preserve">Stage 1–2 score highest; Stage 4+ penalized</w:t>
            </w:r>
          </w:p>
        </w:tc>
      </w:tr>
      <w:tr>
        <w:tc>
          <w:tcPr>
            <w:tcW w:type="dxa" w:w="1600"/>
          </w:tcPr>
          <w:p>
            <w:pPr>
              <w:spacing w:after="60"/>
            </w:pPr>
            <w:r>
              <w:rPr>
                <w:rFonts w:ascii="Arial" w:cs="Arial" w:eastAsia="Arial" w:hAnsi="Arial"/>
                <w:sz w:val="20"/>
                <w:szCs w:val="20"/>
              </w:rPr>
              <w:t xml:space="preserve">Base Depth</w:t>
            </w:r>
          </w:p>
        </w:tc>
        <w:tc>
          <w:tcPr>
            <w:tcW w:type="dxa" w:w="4000"/>
          </w:tcPr>
          <w:p>
            <w:pPr>
              <w:spacing w:after="60"/>
            </w:pPr>
            <w:r>
              <w:rPr>
                <w:rFonts w:ascii="Arial" w:cs="Arial" w:eastAsia="Arial" w:hAnsi="Arial"/>
                <w:sz w:val="20"/>
                <w:szCs w:val="20"/>
              </w:rPr>
              <w:t xml:space="preserve">Peak-to-trough correction %</w:t>
            </w:r>
          </w:p>
        </w:tc>
        <w:tc>
          <w:tcPr>
            <w:tcW w:type="dxa" w:w="3760"/>
          </w:tcPr>
          <w:p>
            <w:pPr>
              <w:spacing w:after="60"/>
            </w:pPr>
            <w:r>
              <w:rPr>
                <w:rFonts w:ascii="Arial" w:cs="Arial" w:eastAsia="Arial" w:hAnsi="Arial"/>
                <w:sz w:val="20"/>
                <w:szCs w:val="20"/>
              </w:rPr>
              <w:t xml:space="preserve">Evaluated relative to market conditions</w:t>
            </w:r>
          </w:p>
        </w:tc>
      </w:tr>
      <w:tr>
        <w:tc>
          <w:tcPr>
            <w:tcW w:type="dxa" w:w="1600"/>
          </w:tcPr>
          <w:p>
            <w:pPr>
              <w:spacing w:after="60"/>
            </w:pPr>
            <w:r>
              <w:rPr>
                <w:rFonts w:ascii="Arial" w:cs="Arial" w:eastAsia="Arial" w:hAnsi="Arial"/>
                <w:sz w:val="20"/>
                <w:szCs w:val="20"/>
              </w:rPr>
              <w:t xml:space="preserve">Base Length</w:t>
            </w:r>
          </w:p>
        </w:tc>
        <w:tc>
          <w:tcPr>
            <w:tcW w:type="dxa" w:w="4000"/>
          </w:tcPr>
          <w:p>
            <w:pPr>
              <w:spacing w:after="60"/>
            </w:pPr>
            <w:r>
              <w:rPr>
                <w:rFonts w:ascii="Arial" w:cs="Arial" w:eastAsia="Arial" w:hAnsi="Arial"/>
                <w:sz w:val="20"/>
                <w:szCs w:val="20"/>
              </w:rPr>
              <w:t xml:space="preserve">Duration in weeks</w:t>
            </w:r>
          </w:p>
        </w:tc>
        <w:tc>
          <w:tcPr>
            <w:tcW w:type="dxa" w:w="3760"/>
          </w:tcPr>
          <w:p>
            <w:pPr>
              <w:spacing w:after="60"/>
            </w:pPr>
            <w:r>
              <w:rPr>
                <w:rFonts w:ascii="Arial" w:cs="Arial" w:eastAsia="Arial" w:hAnsi="Arial"/>
                <w:sz w:val="20"/>
                <w:szCs w:val="20"/>
              </w:rPr>
              <w:t xml:space="preserve">Minimum 5–7 weeks; 13+ weeks preferred</w:t>
            </w:r>
          </w:p>
        </w:tc>
      </w:tr>
    </w:tbl>
    <w:p>
      <w:pPr>
        <w:spacing w:after="200" w:line="276"/>
      </w:pPr>
      <w:r>
        <w:rPr>
          <w:rFonts w:ascii="Arial" w:cs="Arial" w:eastAsia="Arial" w:hAnsi="Arial"/>
          <w:color w:val="333333"/>
          <w:sz w:val="22"/>
          <w:szCs w:val="22"/>
        </w:rPr>
        <w:t xml:space="preserve">The CANSLIM ratings fields come from the MarketSurge stock profile and are critical inputs for the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200"/>
        <w:gridCol w:w="3560"/>
      </w:tblGrid>
      <w:tr>
        <w:tc>
          <w:tcPr>
            <w:tcW w:type="dxa" w:w="1800"/>
            <w:shd w:val="clear" w:fill="D5E8F0"/>
          </w:tcPr>
          <w:p>
            <w:pPr>
              <w:spacing w:after="60"/>
            </w:pPr>
            <w:r>
              <w:rPr>
                <w:rFonts w:ascii="Arial" w:cs="Arial" w:eastAsia="Arial" w:hAnsi="Arial"/>
                <w:b/>
                <w:sz w:val="20"/>
                <w:szCs w:val="20"/>
              </w:rPr>
              <w:t xml:space="preserve">Field</w:t>
            </w:r>
          </w:p>
        </w:tc>
        <w:tc>
          <w:tcPr>
            <w:tcW w:type="dxa" w:w="800"/>
            <w:shd w:val="clear" w:fill="D5E8F0"/>
          </w:tcPr>
          <w:p>
            <w:pPr>
              <w:spacing w:after="60"/>
            </w:pPr>
            <w:r>
              <w:rPr>
                <w:rFonts w:ascii="Arial" w:cs="Arial" w:eastAsia="Arial" w:hAnsi="Arial"/>
                <w:b/>
                <w:sz w:val="20"/>
                <w:szCs w:val="20"/>
              </w:rPr>
              <w:t xml:space="preserve">Range</w:t>
            </w:r>
          </w:p>
        </w:tc>
        <w:tc>
          <w:tcPr>
            <w:tcW w:type="dxa" w:w="3200"/>
            <w:shd w:val="clear" w:fill="D5E8F0"/>
          </w:tcPr>
          <w:p>
            <w:pPr>
              <w:spacing w:after="60"/>
            </w:pPr>
            <w:r>
              <w:rPr>
                <w:rFonts w:ascii="Arial" w:cs="Arial" w:eastAsia="Arial" w:hAnsi="Arial"/>
                <w:b/>
                <w:sz w:val="20"/>
                <w:szCs w:val="20"/>
              </w:rPr>
              <w:t xml:space="preserve">Description</w:t>
            </w:r>
          </w:p>
        </w:tc>
        <w:tc>
          <w:tcPr>
            <w:tcW w:type="dxa" w:w="3560"/>
            <w:shd w:val="clear" w:fill="D5E8F0"/>
          </w:tcPr>
          <w:p>
            <w:pPr>
              <w:spacing w:after="60"/>
            </w:pPr>
            <w:r>
              <w:rPr>
                <w:rFonts w:ascii="Arial" w:cs="Arial" w:eastAsia="Arial" w:hAnsi="Arial"/>
                <w:b/>
                <w:sz w:val="20"/>
                <w:szCs w:val="20"/>
              </w:rPr>
              <w:t xml:space="preserve">Source in MarketSurge</w:t>
            </w:r>
          </w:p>
        </w:tc>
      </w:tr>
      <w:tr>
        <w:tc>
          <w:tcPr>
            <w:tcW w:type="dxa" w:w="1800"/>
          </w:tcPr>
          <w:p>
            <w:pPr>
              <w:spacing w:after="60"/>
            </w:pPr>
            <w:r>
              <w:rPr>
                <w:rFonts w:ascii="Arial" w:cs="Arial" w:eastAsia="Arial" w:hAnsi="Arial"/>
                <w:sz w:val="20"/>
                <w:szCs w:val="20"/>
              </w:rPr>
              <w:t xml:space="preserve">RS Rating</w:t>
            </w:r>
          </w:p>
        </w:tc>
        <w:tc>
          <w:tcPr>
            <w:tcW w:type="dxa" w:w="800"/>
          </w:tcPr>
          <w:p>
            <w:pPr>
              <w:spacing w:after="60"/>
            </w:pPr>
            <w:r>
              <w:rPr>
                <w:rFonts w:ascii="Arial" w:cs="Arial" w:eastAsia="Arial" w:hAnsi="Arial"/>
                <w:sz w:val="20"/>
                <w:szCs w:val="20"/>
              </w:rPr>
              <w:t xml:space="preserve">1–99</w:t>
            </w:r>
          </w:p>
        </w:tc>
        <w:tc>
          <w:tcPr>
            <w:tcW w:type="dxa" w:w="3200"/>
          </w:tcPr>
          <w:p>
            <w:pPr>
              <w:spacing w:after="60"/>
            </w:pPr>
            <w:r>
              <w:rPr>
                <w:rFonts w:ascii="Arial" w:cs="Arial" w:eastAsia="Arial" w:hAnsi="Arial"/>
                <w:sz w:val="20"/>
                <w:szCs w:val="20"/>
              </w:rPr>
              <w:t xml:space="preserve">IBD Relative Strength Rating</w:t>
            </w:r>
          </w:p>
        </w:tc>
        <w:tc>
          <w:tcPr>
            <w:tcW w:type="dxa" w:w="3560"/>
          </w:tcPr>
          <w:p>
            <w:pPr>
              <w:spacing w:after="60"/>
            </w:pPr>
            <w:r>
              <w:rPr>
                <w:rFonts w:ascii="Arial" w:cs="Arial" w:eastAsia="Arial" w:hAnsi="Arial"/>
                <w:sz w:val="20"/>
                <w:szCs w:val="20"/>
              </w:rPr>
              <w:t xml:space="preserve">Stock Checkup or chart header</w:t>
            </w:r>
          </w:p>
        </w:tc>
      </w:tr>
      <w:tr>
        <w:tc>
          <w:tcPr>
            <w:tcW w:type="dxa" w:w="1800"/>
          </w:tcPr>
          <w:p>
            <w:pPr>
              <w:spacing w:after="60"/>
            </w:pPr>
            <w:r>
              <w:rPr>
                <w:rFonts w:ascii="Arial" w:cs="Arial" w:eastAsia="Arial" w:hAnsi="Arial"/>
                <w:sz w:val="20"/>
                <w:szCs w:val="20"/>
              </w:rPr>
              <w:t xml:space="preserve">RS 3-Month</w:t>
            </w:r>
          </w:p>
        </w:tc>
        <w:tc>
          <w:tcPr>
            <w:tcW w:type="dxa" w:w="800"/>
          </w:tcPr>
          <w:p>
            <w:pPr>
              <w:spacing w:after="60"/>
            </w:pPr>
            <w:r>
              <w:rPr>
                <w:rFonts w:ascii="Arial" w:cs="Arial" w:eastAsia="Arial" w:hAnsi="Arial"/>
                <w:sz w:val="20"/>
                <w:szCs w:val="20"/>
              </w:rPr>
              <w:t xml:space="preserve">1–99</w:t>
            </w:r>
          </w:p>
        </w:tc>
        <w:tc>
          <w:tcPr>
            <w:tcW w:type="dxa" w:w="3200"/>
          </w:tcPr>
          <w:p>
            <w:pPr>
              <w:spacing w:after="60"/>
            </w:pPr>
            <w:r>
              <w:rPr>
                <w:rFonts w:ascii="Arial" w:cs="Arial" w:eastAsia="Arial" w:hAnsi="Arial"/>
                <w:sz w:val="20"/>
                <w:szCs w:val="20"/>
              </w:rPr>
              <w:t xml:space="preserve">Short-term relative strength</w:t>
            </w:r>
          </w:p>
        </w:tc>
        <w:tc>
          <w:tcPr>
            <w:tcW w:type="dxa" w:w="3560"/>
          </w:tcPr>
          <w:p>
            <w:pPr>
              <w:spacing w:after="60"/>
            </w:pPr>
            <w:r>
              <w:rPr>
                <w:rFonts w:ascii="Arial" w:cs="Arial" w:eastAsia="Arial" w:hAnsi="Arial"/>
                <w:sz w:val="20"/>
                <w:szCs w:val="20"/>
              </w:rPr>
              <w:t xml:space="preserve">Stock Checkup</w:t>
            </w:r>
          </w:p>
        </w:tc>
      </w:tr>
      <w:tr>
        <w:tc>
          <w:tcPr>
            <w:tcW w:type="dxa" w:w="1800"/>
          </w:tcPr>
          <w:p>
            <w:pPr>
              <w:spacing w:after="60"/>
            </w:pPr>
            <w:r>
              <w:rPr>
                <w:rFonts w:ascii="Arial" w:cs="Arial" w:eastAsia="Arial" w:hAnsi="Arial"/>
                <w:sz w:val="20"/>
                <w:szCs w:val="20"/>
              </w:rPr>
              <w:t xml:space="preserve">RS 6-Month</w:t>
            </w:r>
          </w:p>
        </w:tc>
        <w:tc>
          <w:tcPr>
            <w:tcW w:type="dxa" w:w="800"/>
          </w:tcPr>
          <w:p>
            <w:pPr>
              <w:spacing w:after="60"/>
            </w:pPr>
            <w:r>
              <w:rPr>
                <w:rFonts w:ascii="Arial" w:cs="Arial" w:eastAsia="Arial" w:hAnsi="Arial"/>
                <w:sz w:val="20"/>
                <w:szCs w:val="20"/>
              </w:rPr>
              <w:t xml:space="preserve">1–99</w:t>
            </w:r>
          </w:p>
        </w:tc>
        <w:tc>
          <w:tcPr>
            <w:tcW w:type="dxa" w:w="3200"/>
          </w:tcPr>
          <w:p>
            <w:pPr>
              <w:spacing w:after="60"/>
            </w:pPr>
            <w:r>
              <w:rPr>
                <w:rFonts w:ascii="Arial" w:cs="Arial" w:eastAsia="Arial" w:hAnsi="Arial"/>
                <w:sz w:val="20"/>
                <w:szCs w:val="20"/>
              </w:rPr>
              <w:t xml:space="preserve">Medium-term relative strength</w:t>
            </w:r>
          </w:p>
        </w:tc>
        <w:tc>
          <w:tcPr>
            <w:tcW w:type="dxa" w:w="3560"/>
          </w:tcPr>
          <w:p>
            <w:pPr>
              <w:spacing w:after="60"/>
            </w:pPr>
            <w:r>
              <w:rPr>
                <w:rFonts w:ascii="Arial" w:cs="Arial" w:eastAsia="Arial" w:hAnsi="Arial"/>
                <w:sz w:val="20"/>
                <w:szCs w:val="20"/>
              </w:rPr>
              <w:t xml:space="preserve">Stock Checkup</w:t>
            </w:r>
          </w:p>
        </w:tc>
      </w:tr>
      <w:tr>
        <w:tc>
          <w:tcPr>
            <w:tcW w:type="dxa" w:w="1800"/>
          </w:tcPr>
          <w:p>
            <w:pPr>
              <w:spacing w:after="60"/>
            </w:pPr>
            <w:r>
              <w:rPr>
                <w:rFonts w:ascii="Arial" w:cs="Arial" w:eastAsia="Arial" w:hAnsi="Arial"/>
                <w:sz w:val="20"/>
                <w:szCs w:val="20"/>
              </w:rPr>
              <w:t xml:space="preserve">EPS Rating</w:t>
            </w:r>
          </w:p>
        </w:tc>
        <w:tc>
          <w:tcPr>
            <w:tcW w:type="dxa" w:w="800"/>
          </w:tcPr>
          <w:p>
            <w:pPr>
              <w:spacing w:after="60"/>
            </w:pPr>
            <w:r>
              <w:rPr>
                <w:rFonts w:ascii="Arial" w:cs="Arial" w:eastAsia="Arial" w:hAnsi="Arial"/>
                <w:sz w:val="20"/>
                <w:szCs w:val="20"/>
              </w:rPr>
              <w:t xml:space="preserve">1–99</w:t>
            </w:r>
          </w:p>
        </w:tc>
        <w:tc>
          <w:tcPr>
            <w:tcW w:type="dxa" w:w="3200"/>
          </w:tcPr>
          <w:p>
            <w:pPr>
              <w:spacing w:after="60"/>
            </w:pPr>
            <w:r>
              <w:rPr>
                <w:rFonts w:ascii="Arial" w:cs="Arial" w:eastAsia="Arial" w:hAnsi="Arial"/>
                <w:sz w:val="20"/>
                <w:szCs w:val="20"/>
              </w:rPr>
              <w:t xml:space="preserve">Earnings Per Share strength</w:t>
            </w:r>
          </w:p>
        </w:tc>
        <w:tc>
          <w:tcPr>
            <w:tcW w:type="dxa" w:w="3560"/>
          </w:tcPr>
          <w:p>
            <w:pPr>
              <w:spacing w:after="60"/>
            </w:pPr>
            <w:r>
              <w:rPr>
                <w:rFonts w:ascii="Arial" w:cs="Arial" w:eastAsia="Arial" w:hAnsi="Arial"/>
                <w:sz w:val="20"/>
                <w:szCs w:val="20"/>
              </w:rPr>
              <w:t xml:space="preserve">Stock Checkup or chart header</w:t>
            </w:r>
          </w:p>
        </w:tc>
      </w:tr>
      <w:tr>
        <w:tc>
          <w:tcPr>
            <w:tcW w:type="dxa" w:w="1800"/>
          </w:tcPr>
          <w:p>
            <w:pPr>
              <w:spacing w:after="60"/>
            </w:pPr>
            <w:r>
              <w:rPr>
                <w:rFonts w:ascii="Arial" w:cs="Arial" w:eastAsia="Arial" w:hAnsi="Arial"/>
                <w:sz w:val="20"/>
                <w:szCs w:val="20"/>
              </w:rPr>
              <w:t xml:space="preserve">Composite Rating</w:t>
            </w:r>
          </w:p>
        </w:tc>
        <w:tc>
          <w:tcPr>
            <w:tcW w:type="dxa" w:w="800"/>
          </w:tcPr>
          <w:p>
            <w:pPr>
              <w:spacing w:after="60"/>
            </w:pPr>
            <w:r>
              <w:rPr>
                <w:rFonts w:ascii="Arial" w:cs="Arial" w:eastAsia="Arial" w:hAnsi="Arial"/>
                <w:sz w:val="20"/>
                <w:szCs w:val="20"/>
              </w:rPr>
              <w:t xml:space="preserve">1–99</w:t>
            </w:r>
          </w:p>
        </w:tc>
        <w:tc>
          <w:tcPr>
            <w:tcW w:type="dxa" w:w="3200"/>
          </w:tcPr>
          <w:p>
            <w:pPr>
              <w:spacing w:after="60"/>
            </w:pPr>
            <w:r>
              <w:rPr>
                <w:rFonts w:ascii="Arial" w:cs="Arial" w:eastAsia="Arial" w:hAnsi="Arial"/>
                <w:sz w:val="20"/>
                <w:szCs w:val="20"/>
              </w:rPr>
              <w:t xml:space="preserve">Overall IBD rating</w:t>
            </w:r>
          </w:p>
        </w:tc>
        <w:tc>
          <w:tcPr>
            <w:tcW w:type="dxa" w:w="3560"/>
          </w:tcPr>
          <w:p>
            <w:pPr>
              <w:spacing w:after="60"/>
            </w:pPr>
            <w:r>
              <w:rPr>
                <w:rFonts w:ascii="Arial" w:cs="Arial" w:eastAsia="Arial" w:hAnsi="Arial"/>
                <w:sz w:val="20"/>
                <w:szCs w:val="20"/>
              </w:rPr>
              <w:t xml:space="preserve">Stock Checkup or chart header</w:t>
            </w:r>
          </w:p>
        </w:tc>
      </w:tr>
      <w:tr>
        <w:tc>
          <w:tcPr>
            <w:tcW w:type="dxa" w:w="1800"/>
          </w:tcPr>
          <w:p>
            <w:pPr>
              <w:spacing w:after="60"/>
            </w:pPr>
            <w:r>
              <w:rPr>
                <w:rFonts w:ascii="Arial" w:cs="Arial" w:eastAsia="Arial" w:hAnsi="Arial"/>
                <w:sz w:val="20"/>
                <w:szCs w:val="20"/>
              </w:rPr>
              <w:t xml:space="preserve">SMR Rating</w:t>
            </w:r>
          </w:p>
        </w:tc>
        <w:tc>
          <w:tcPr>
            <w:tcW w:type="dxa" w:w="800"/>
          </w:tcPr>
          <w:p>
            <w:pPr>
              <w:spacing w:after="60"/>
            </w:pPr>
            <w:r>
              <w:rPr>
                <w:rFonts w:ascii="Arial" w:cs="Arial" w:eastAsia="Arial" w:hAnsi="Arial"/>
                <w:sz w:val="20"/>
                <w:szCs w:val="20"/>
              </w:rPr>
              <w:t xml:space="preserve">A–E</w:t>
            </w:r>
          </w:p>
        </w:tc>
        <w:tc>
          <w:tcPr>
            <w:tcW w:type="dxa" w:w="3200"/>
          </w:tcPr>
          <w:p>
            <w:pPr>
              <w:spacing w:after="60"/>
            </w:pPr>
            <w:r>
              <w:rPr>
                <w:rFonts w:ascii="Arial" w:cs="Arial" w:eastAsia="Arial" w:hAnsi="Arial"/>
                <w:sz w:val="20"/>
                <w:szCs w:val="20"/>
              </w:rPr>
              <w:t xml:space="preserve">Sales, Margins, ROE combined</w:t>
            </w:r>
          </w:p>
        </w:tc>
        <w:tc>
          <w:tcPr>
            <w:tcW w:type="dxa" w:w="3560"/>
          </w:tcPr>
          <w:p>
            <w:pPr>
              <w:spacing w:after="60"/>
            </w:pPr>
            <w:r>
              <w:rPr>
                <w:rFonts w:ascii="Arial" w:cs="Arial" w:eastAsia="Arial" w:hAnsi="Arial"/>
                <w:sz w:val="20"/>
                <w:szCs w:val="20"/>
              </w:rPr>
              <w:t xml:space="preserve">Stock Checkup</w:t>
            </w:r>
          </w:p>
        </w:tc>
      </w:tr>
      <w:tr>
        <w:tc>
          <w:tcPr>
            <w:tcW w:type="dxa" w:w="1800"/>
          </w:tcPr>
          <w:p>
            <w:pPr>
              <w:spacing w:after="60"/>
            </w:pPr>
            <w:r>
              <w:rPr>
                <w:rFonts w:ascii="Arial" w:cs="Arial" w:eastAsia="Arial" w:hAnsi="Arial"/>
                <w:sz w:val="20"/>
                <w:szCs w:val="20"/>
              </w:rPr>
              <w:t xml:space="preserve">A/D Rating</w:t>
            </w:r>
          </w:p>
        </w:tc>
        <w:tc>
          <w:tcPr>
            <w:tcW w:type="dxa" w:w="800"/>
          </w:tcPr>
          <w:p>
            <w:pPr>
              <w:spacing w:after="60"/>
            </w:pPr>
            <w:r>
              <w:rPr>
                <w:rFonts w:ascii="Arial" w:cs="Arial" w:eastAsia="Arial" w:hAnsi="Arial"/>
                <w:sz w:val="20"/>
                <w:szCs w:val="20"/>
              </w:rPr>
              <w:t xml:space="preserve">A+ to E</w:t>
            </w:r>
          </w:p>
        </w:tc>
        <w:tc>
          <w:tcPr>
            <w:tcW w:type="dxa" w:w="3200"/>
          </w:tcPr>
          <w:p>
            <w:pPr>
              <w:spacing w:after="60"/>
            </w:pPr>
            <w:r>
              <w:rPr>
                <w:rFonts w:ascii="Arial" w:cs="Arial" w:eastAsia="Arial" w:hAnsi="Arial"/>
                <w:sz w:val="20"/>
                <w:szCs w:val="20"/>
              </w:rPr>
              <w:t xml:space="preserve">Accumulation/Distribution</w:t>
            </w:r>
          </w:p>
        </w:tc>
        <w:tc>
          <w:tcPr>
            <w:tcW w:type="dxa" w:w="3560"/>
          </w:tcPr>
          <w:p>
            <w:pPr>
              <w:spacing w:after="60"/>
            </w:pPr>
            <w:r>
              <w:rPr>
                <w:rFonts w:ascii="Arial" w:cs="Arial" w:eastAsia="Arial" w:hAnsi="Arial"/>
                <w:sz w:val="20"/>
                <w:szCs w:val="20"/>
              </w:rPr>
              <w:t xml:space="preserve">Stock Checkup or chart header</w:t>
            </w:r>
          </w:p>
        </w:tc>
      </w:tr>
      <w:tr>
        <w:tc>
          <w:tcPr>
            <w:tcW w:type="dxa" w:w="1800"/>
          </w:tcPr>
          <w:p>
            <w:pPr>
              <w:spacing w:after="60"/>
            </w:pPr>
            <w:r>
              <w:rPr>
                <w:rFonts w:ascii="Arial" w:cs="Arial" w:eastAsia="Arial" w:hAnsi="Arial"/>
                <w:sz w:val="20"/>
                <w:szCs w:val="20"/>
              </w:rPr>
              <w:t xml:space="preserve">U/D Volume Ratio</w:t>
            </w:r>
          </w:p>
        </w:tc>
        <w:tc>
          <w:tcPr>
            <w:tcW w:type="dxa" w:w="800"/>
          </w:tcPr>
          <w:p>
            <w:pPr>
              <w:spacing w:after="60"/>
            </w:pPr>
            <w:r>
              <w:rPr>
                <w:rFonts w:ascii="Arial" w:cs="Arial" w:eastAsia="Arial" w:hAnsi="Arial"/>
                <w:sz w:val="20"/>
                <w:szCs w:val="20"/>
              </w:rPr>
              <w:t xml:space="preserve">0–10</w:t>
            </w:r>
          </w:p>
        </w:tc>
        <w:tc>
          <w:tcPr>
            <w:tcW w:type="dxa" w:w="3200"/>
          </w:tcPr>
          <w:p>
            <w:pPr>
              <w:spacing w:after="60"/>
            </w:pPr>
            <w:r>
              <w:rPr>
                <w:rFonts w:ascii="Arial" w:cs="Arial" w:eastAsia="Arial" w:hAnsi="Arial"/>
                <w:sz w:val="20"/>
                <w:szCs w:val="20"/>
              </w:rPr>
              <w:t xml:space="preserve">Up/Down volume ratio</w:t>
            </w:r>
          </w:p>
        </w:tc>
        <w:tc>
          <w:tcPr>
            <w:tcW w:type="dxa" w:w="3560"/>
          </w:tcPr>
          <w:p>
            <w:pPr>
              <w:spacing w:after="60"/>
            </w:pPr>
            <w:r>
              <w:rPr>
                <w:rFonts w:ascii="Arial" w:cs="Arial" w:eastAsia="Arial" w:hAnsi="Arial"/>
                <w:sz w:val="20"/>
                <w:szCs w:val="20"/>
              </w:rPr>
              <w:t xml:space="preserve">Stock Checkup</w:t>
            </w:r>
          </w:p>
        </w:tc>
      </w:tr>
    </w:tbl>
    <w:p>
      <w:pPr>
        <w:spacing w:after="200" w:line="276"/>
      </w:pPr>
      <w:r>
        <w:rPr>
          <w:rFonts w:ascii="Arial" w:cs="Arial" w:eastAsia="Arial" w:hAnsi="Arial"/>
          <w:color w:val="333333"/>
          <w:sz w:val="22"/>
          <w:szCs w:val="22"/>
        </w:rPr>
        <w:t xml:space="preserve">The industry and institutional sponsorship fields capture the I and S factors of CANSLIM: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shd w:val="clear" w:fill="D5E8F0"/>
          </w:tcPr>
          <w:p>
            <w:pPr>
              <w:spacing w:after="60"/>
            </w:pPr>
            <w:r>
              <w:rPr>
                <w:rFonts w:ascii="Arial" w:cs="Arial" w:eastAsia="Arial" w:hAnsi="Arial"/>
                <w:b/>
                <w:sz w:val="20"/>
                <w:szCs w:val="20"/>
              </w:rPr>
              <w:t xml:space="preserve">Field</w:t>
            </w:r>
          </w:p>
        </w:tc>
        <w:tc>
          <w:tcPr>
            <w:tcW w:type="dxa" w:w="4200"/>
            <w:shd w:val="clear" w:fill="D5E8F0"/>
          </w:tcPr>
          <w:p>
            <w:pPr>
              <w:spacing w:after="60"/>
            </w:pPr>
            <w:r>
              <w:rPr>
                <w:rFonts w:ascii="Arial" w:cs="Arial" w:eastAsia="Arial" w:hAnsi="Arial"/>
                <w:b/>
                <w:sz w:val="20"/>
                <w:szCs w:val="20"/>
              </w:rPr>
              <w:t xml:space="preserve">Description</w:t>
            </w:r>
          </w:p>
        </w:tc>
        <w:tc>
          <w:tcPr>
            <w:tcW w:type="dxa" w:w="3360"/>
            <w:shd w:val="clear" w:fill="D5E8F0"/>
          </w:tcPr>
          <w:p>
            <w:pPr>
              <w:spacing w:after="60"/>
            </w:pPr>
            <w:r>
              <w:rPr>
                <w:rFonts w:ascii="Arial" w:cs="Arial" w:eastAsia="Arial" w:hAnsi="Arial"/>
                <w:b/>
                <w:sz w:val="20"/>
                <w:szCs w:val="20"/>
              </w:rPr>
              <w:t xml:space="preserve">Source in MarketSurge</w:t>
            </w:r>
          </w:p>
        </w:tc>
      </w:tr>
      <w:tr>
        <w:tc>
          <w:tcPr>
            <w:tcW w:type="dxa" w:w="1800"/>
          </w:tcPr>
          <w:p>
            <w:pPr>
              <w:spacing w:after="60"/>
            </w:pPr>
            <w:r>
              <w:rPr>
                <w:rFonts w:ascii="Arial" w:cs="Arial" w:eastAsia="Arial" w:hAnsi="Arial"/>
                <w:sz w:val="20"/>
                <w:szCs w:val="20"/>
              </w:rPr>
              <w:t xml:space="preserve">Industry Rank</w:t>
            </w:r>
          </w:p>
        </w:tc>
        <w:tc>
          <w:tcPr>
            <w:tcW w:type="dxa" w:w="4200"/>
          </w:tcPr>
          <w:p>
            <w:pPr>
              <w:spacing w:after="60"/>
            </w:pPr>
            <w:r>
              <w:rPr>
                <w:rFonts w:ascii="Arial" w:cs="Arial" w:eastAsia="Arial" w:hAnsi="Arial"/>
                <w:sz w:val="20"/>
                <w:szCs w:val="20"/>
              </w:rPr>
              <w:t xml:space="preserve">IBD 197 Industry Group rank (1 = best)</w:t>
            </w:r>
          </w:p>
        </w:tc>
        <w:tc>
          <w:tcPr>
            <w:tcW w:type="dxa" w:w="3360"/>
          </w:tcPr>
          <w:p>
            <w:pPr>
              <w:spacing w:after="60"/>
            </w:pPr>
            <w:r>
              <w:rPr>
                <w:rFonts w:ascii="Arial" w:cs="Arial" w:eastAsia="Arial" w:hAnsi="Arial"/>
                <w:sz w:val="20"/>
                <w:szCs w:val="20"/>
              </w:rPr>
              <w:t xml:space="preserve">Industry Groups panel</w:t>
            </w:r>
          </w:p>
        </w:tc>
      </w:tr>
      <w:tr>
        <w:tc>
          <w:tcPr>
            <w:tcW w:type="dxa" w:w="1800"/>
          </w:tcPr>
          <w:p>
            <w:pPr>
              <w:spacing w:after="60"/>
            </w:pPr>
            <w:r>
              <w:rPr>
                <w:rFonts w:ascii="Arial" w:cs="Arial" w:eastAsia="Arial" w:hAnsi="Arial"/>
                <w:sz w:val="20"/>
                <w:szCs w:val="20"/>
              </w:rPr>
              <w:t xml:space="preserve">EPS in Industry</w:t>
            </w:r>
          </w:p>
        </w:tc>
        <w:tc>
          <w:tcPr>
            <w:tcW w:type="dxa" w:w="4200"/>
          </w:tcPr>
          <w:p>
            <w:pPr>
              <w:spacing w:after="60"/>
            </w:pPr>
            <w:r>
              <w:rPr>
                <w:rFonts w:ascii="Arial" w:cs="Arial" w:eastAsia="Arial" w:hAnsi="Arial"/>
                <w:sz w:val="20"/>
                <w:szCs w:val="20"/>
              </w:rPr>
              <w:t xml:space="preserve">Stock’s EPS rank within its group (e.g., “3 of 38”)</w:t>
            </w:r>
          </w:p>
        </w:tc>
        <w:tc>
          <w:tcPr>
            <w:tcW w:type="dxa" w:w="3360"/>
          </w:tcPr>
          <w:p>
            <w:pPr>
              <w:spacing w:after="60"/>
            </w:pPr>
            <w:r>
              <w:rPr>
                <w:rFonts w:ascii="Arial" w:cs="Arial" w:eastAsia="Arial" w:hAnsi="Arial"/>
                <w:sz w:val="20"/>
                <w:szCs w:val="20"/>
              </w:rPr>
              <w:t xml:space="preserve">Industry Groups detail</w:t>
            </w:r>
          </w:p>
        </w:tc>
      </w:tr>
      <w:tr>
        <w:tc>
          <w:tcPr>
            <w:tcW w:type="dxa" w:w="1800"/>
          </w:tcPr>
          <w:p>
            <w:pPr>
              <w:spacing w:after="60"/>
            </w:pPr>
            <w:r>
              <w:rPr>
                <w:rFonts w:ascii="Arial" w:cs="Arial" w:eastAsia="Arial" w:hAnsi="Arial"/>
                <w:sz w:val="20"/>
                <w:szCs w:val="20"/>
              </w:rPr>
              <w:t xml:space="preserve">RS in Industry</w:t>
            </w:r>
          </w:p>
        </w:tc>
        <w:tc>
          <w:tcPr>
            <w:tcW w:type="dxa" w:w="4200"/>
          </w:tcPr>
          <w:p>
            <w:pPr>
              <w:spacing w:after="60"/>
            </w:pPr>
            <w:r>
              <w:rPr>
                <w:rFonts w:ascii="Arial" w:cs="Arial" w:eastAsia="Arial" w:hAnsi="Arial"/>
                <w:sz w:val="20"/>
                <w:szCs w:val="20"/>
              </w:rPr>
              <w:t xml:space="preserve">Stock’s RS rank within its group (e.g., “10 of 38”)</w:t>
            </w:r>
          </w:p>
        </w:tc>
        <w:tc>
          <w:tcPr>
            <w:tcW w:type="dxa" w:w="3360"/>
          </w:tcPr>
          <w:p>
            <w:pPr>
              <w:spacing w:after="60"/>
            </w:pPr>
            <w:r>
              <w:rPr>
                <w:rFonts w:ascii="Arial" w:cs="Arial" w:eastAsia="Arial" w:hAnsi="Arial"/>
                <w:sz w:val="20"/>
                <w:szCs w:val="20"/>
              </w:rPr>
              <w:t xml:space="preserve">Industry Groups detail</w:t>
            </w:r>
          </w:p>
        </w:tc>
      </w:tr>
      <w:tr>
        <w:tc>
          <w:tcPr>
            <w:tcW w:type="dxa" w:w="1800"/>
          </w:tcPr>
          <w:p>
            <w:pPr>
              <w:spacing w:after="60"/>
            </w:pPr>
            <w:r>
              <w:rPr>
                <w:rFonts w:ascii="Arial" w:cs="Arial" w:eastAsia="Arial" w:hAnsi="Arial"/>
                <w:sz w:val="20"/>
                <w:szCs w:val="20"/>
              </w:rPr>
              <w:t xml:space="preserve">Fund Count</w:t>
            </w:r>
          </w:p>
        </w:tc>
        <w:tc>
          <w:tcPr>
            <w:tcW w:type="dxa" w:w="4200"/>
          </w:tcPr>
          <w:p>
            <w:pPr>
              <w:spacing w:after="60"/>
            </w:pPr>
            <w:r>
              <w:rPr>
                <w:rFonts w:ascii="Arial" w:cs="Arial" w:eastAsia="Arial" w:hAnsi="Arial"/>
                <w:sz w:val="20"/>
                <w:szCs w:val="20"/>
              </w:rPr>
              <w:t xml:space="preserve">Number of mutual funds holding the stock</w:t>
            </w:r>
          </w:p>
        </w:tc>
        <w:tc>
          <w:tcPr>
            <w:tcW w:type="dxa" w:w="3360"/>
          </w:tcPr>
          <w:p>
            <w:pPr>
              <w:spacing w:after="60"/>
            </w:pPr>
            <w:r>
              <w:rPr>
                <w:rFonts w:ascii="Arial" w:cs="Arial" w:eastAsia="Arial" w:hAnsi="Arial"/>
                <w:sz w:val="20"/>
                <w:szCs w:val="20"/>
              </w:rPr>
              <w:t xml:space="preserve">Owners panel</w:t>
            </w:r>
          </w:p>
        </w:tc>
      </w:tr>
      <w:tr>
        <w:tc>
          <w:tcPr>
            <w:tcW w:type="dxa" w:w="1800"/>
          </w:tcPr>
          <w:p>
            <w:pPr>
              <w:spacing w:after="60"/>
            </w:pPr>
            <w:r>
              <w:rPr>
                <w:rFonts w:ascii="Arial" w:cs="Arial" w:eastAsia="Arial" w:hAnsi="Arial"/>
                <w:sz w:val="20"/>
                <w:szCs w:val="20"/>
              </w:rPr>
              <w:t xml:space="preserve">Prior Fund Count</w:t>
            </w:r>
          </w:p>
        </w:tc>
        <w:tc>
          <w:tcPr>
            <w:tcW w:type="dxa" w:w="4200"/>
          </w:tcPr>
          <w:p>
            <w:pPr>
              <w:spacing w:after="60"/>
            </w:pPr>
            <w:r>
              <w:rPr>
                <w:rFonts w:ascii="Arial" w:cs="Arial" w:eastAsia="Arial" w:hAnsi="Arial"/>
                <w:sz w:val="20"/>
                <w:szCs w:val="20"/>
              </w:rPr>
              <w:t xml:space="preserve">Fund count from prior quarter</w:t>
            </w:r>
          </w:p>
        </w:tc>
        <w:tc>
          <w:tcPr>
            <w:tcW w:type="dxa" w:w="3360"/>
          </w:tcPr>
          <w:p>
            <w:pPr>
              <w:spacing w:after="60"/>
            </w:pPr>
            <w:r>
              <w:rPr>
                <w:rFonts w:ascii="Arial" w:cs="Arial" w:eastAsia="Arial" w:hAnsi="Arial"/>
                <w:sz w:val="20"/>
                <w:szCs w:val="20"/>
              </w:rPr>
              <w:t xml:space="preserve">Owners panel (prior quarter)</w:t>
            </w:r>
          </w:p>
        </w:tc>
      </w:tr>
      <w:tr>
        <w:tc>
          <w:tcPr>
            <w:tcW w:type="dxa" w:w="1800"/>
          </w:tcPr>
          <w:p>
            <w:pPr>
              <w:spacing w:after="60"/>
            </w:pPr>
            <w:r>
              <w:rPr>
                <w:rFonts w:ascii="Arial" w:cs="Arial" w:eastAsia="Arial" w:hAnsi="Arial"/>
                <w:sz w:val="20"/>
                <w:szCs w:val="20"/>
              </w:rPr>
              <w:t xml:space="preserve">Fund Qtr Change</w:t>
            </w:r>
          </w:p>
        </w:tc>
        <w:tc>
          <w:tcPr>
            <w:tcW w:type="dxa" w:w="4200"/>
          </w:tcPr>
          <w:p>
            <w:pPr>
              <w:spacing w:after="60"/>
            </w:pPr>
            <w:r>
              <w:rPr>
                <w:rFonts w:ascii="Arial" w:cs="Arial" w:eastAsia="Arial" w:hAnsi="Arial"/>
                <w:sz w:val="20"/>
                <w:szCs w:val="20"/>
              </w:rPr>
              <w:t xml:space="preserve">Auto-calculated from current and prior fund counts</w:t>
            </w:r>
          </w:p>
        </w:tc>
        <w:tc>
          <w:tcPr>
            <w:tcW w:type="dxa" w:w="3360"/>
          </w:tcPr>
          <w:p>
            <w:pPr>
              <w:spacing w:after="60"/>
            </w:pPr>
            <w:r>
              <w:rPr>
                <w:rFonts w:ascii="Arial" w:cs="Arial" w:eastAsia="Arial" w:hAnsi="Arial"/>
                <w:sz w:val="20"/>
                <w:szCs w:val="20"/>
              </w:rPr>
              <w:t xml:space="preserve">Computed</w:t>
            </w:r>
          </w:p>
        </w:tc>
      </w:tr>
    </w:tbl>
    <w:p>
      <w:pPr>
        <w:spacing w:after="200" w:line="276"/>
      </w:pPr>
      <w:r>
        <w:rPr>
          <w:rFonts w:ascii="Arial" w:cs="Arial" w:eastAsia="Arial" w:hAnsi="Arial"/>
          <w:color w:val="333333"/>
          <w:sz w:val="22"/>
          <w:szCs w:val="22"/>
        </w:rPr>
        <w:t xml:space="preserve">Additional fields capture context for entry timing and position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val="clear" w:fill="D5E8F0"/>
          </w:tcPr>
          <w:p>
            <w:pPr>
              <w:spacing w:after="60"/>
            </w:pPr>
            <w:r>
              <w:rPr>
                <w:rFonts w:ascii="Arial" w:cs="Arial" w:eastAsia="Arial" w:hAnsi="Arial"/>
                <w:b/>
                <w:sz w:val="20"/>
                <w:szCs w:val="20"/>
              </w:rPr>
              <w:t xml:space="preserve">Field</w:t>
            </w:r>
          </w:p>
        </w:tc>
        <w:tc>
          <w:tcPr>
            <w:tcW w:type="dxa" w:w="7360"/>
            <w:shd w:val="clear" w:fill="D5E8F0"/>
          </w:tcPr>
          <w:p>
            <w:pPr>
              <w:spacing w:after="60"/>
            </w:pPr>
            <w:r>
              <w:rPr>
                <w:rFonts w:ascii="Arial" w:cs="Arial" w:eastAsia="Arial" w:hAnsi="Arial"/>
                <w:b/>
                <w:sz w:val="20"/>
                <w:szCs w:val="20"/>
              </w:rPr>
              <w:t xml:space="preserve">Description</w:t>
            </w:r>
          </w:p>
        </w:tc>
      </w:tr>
      <w:tr>
        <w:tc>
          <w:tcPr>
            <w:tcW w:type="dxa" w:w="2000"/>
          </w:tcPr>
          <w:p>
            <w:pPr>
              <w:spacing w:after="60"/>
            </w:pPr>
            <w:r>
              <w:rPr>
                <w:rFonts w:ascii="Arial" w:cs="Arial" w:eastAsia="Arial" w:hAnsi="Arial"/>
                <w:sz w:val="20"/>
                <w:szCs w:val="20"/>
              </w:rPr>
              <w:t xml:space="preserve">Watch Date</w:t>
            </w:r>
          </w:p>
        </w:tc>
        <w:tc>
          <w:tcPr>
            <w:tcW w:type="dxa" w:w="7360"/>
          </w:tcPr>
          <w:p>
            <w:pPr>
              <w:spacing w:after="60"/>
            </w:pPr>
            <w:r>
              <w:rPr>
                <w:rFonts w:ascii="Arial" w:cs="Arial" w:eastAsia="Arial" w:hAnsi="Arial"/>
                <w:sz w:val="20"/>
                <w:szCs w:val="20"/>
              </w:rPr>
              <w:t xml:space="preserve">Date added to watchlist (defaults to today)</w:t>
            </w:r>
          </w:p>
        </w:tc>
      </w:tr>
      <w:tr>
        <w:tc>
          <w:tcPr>
            <w:tcW w:type="dxa" w:w="2000"/>
          </w:tcPr>
          <w:p>
            <w:pPr>
              <w:spacing w:after="60"/>
            </w:pPr>
            <w:r>
              <w:rPr>
                <w:rFonts w:ascii="Arial" w:cs="Arial" w:eastAsia="Arial" w:hAnsi="Arial"/>
                <w:sz w:val="20"/>
                <w:szCs w:val="20"/>
              </w:rPr>
              <w:t xml:space="preserve">Breakout Date</w:t>
            </w:r>
          </w:p>
        </w:tc>
        <w:tc>
          <w:tcPr>
            <w:tcW w:type="dxa" w:w="7360"/>
          </w:tcPr>
          <w:p>
            <w:pPr>
              <w:spacing w:after="60"/>
            </w:pPr>
            <w:r>
              <w:rPr>
                <w:rFonts w:ascii="Arial" w:cs="Arial" w:eastAsia="Arial" w:hAnsi="Arial"/>
                <w:sz w:val="20"/>
                <w:szCs w:val="20"/>
              </w:rPr>
              <w:t xml:space="preserve">Date the stock broke out of the base (if already occurred)</w:t>
            </w:r>
          </w:p>
        </w:tc>
      </w:tr>
      <w:tr>
        <w:tc>
          <w:tcPr>
            <w:tcW w:type="dxa" w:w="2000"/>
          </w:tcPr>
          <w:p>
            <w:pPr>
              <w:spacing w:after="60"/>
            </w:pPr>
            <w:r>
              <w:rPr>
                <w:rFonts w:ascii="Arial" w:cs="Arial" w:eastAsia="Arial" w:hAnsi="Arial"/>
                <w:sz w:val="20"/>
                <w:szCs w:val="20"/>
              </w:rPr>
              <w:t xml:space="preserve">Earnings Date</w:t>
            </w:r>
          </w:p>
        </w:tc>
        <w:tc>
          <w:tcPr>
            <w:tcW w:type="dxa" w:w="7360"/>
          </w:tcPr>
          <w:p>
            <w:pPr>
              <w:spacing w:after="60"/>
            </w:pPr>
            <w:r>
              <w:rPr>
                <w:rFonts w:ascii="Arial" w:cs="Arial" w:eastAsia="Arial" w:hAnsi="Arial"/>
                <w:sz w:val="20"/>
                <w:szCs w:val="20"/>
              </w:rPr>
              <w:t xml:space="preserve">Next earnings report date (auto-fetched if using Score Preview)</w:t>
            </w:r>
          </w:p>
        </w:tc>
      </w:tr>
      <w:tr>
        <w:tc>
          <w:tcPr>
            <w:tcW w:type="dxa" w:w="2000"/>
          </w:tcPr>
          <w:p>
            <w:pPr>
              <w:spacing w:after="60"/>
            </w:pPr>
            <w:r>
              <w:rPr>
                <w:rFonts w:ascii="Arial" w:cs="Arial" w:eastAsia="Arial" w:hAnsi="Arial"/>
                <w:sz w:val="20"/>
                <w:szCs w:val="20"/>
              </w:rPr>
              <w:t xml:space="preserve">Prior Uptrend %</w:t>
            </w:r>
          </w:p>
        </w:tc>
        <w:tc>
          <w:tcPr>
            <w:tcW w:type="dxa" w:w="7360"/>
          </w:tcPr>
          <w:p>
            <w:pPr>
              <w:spacing w:after="60"/>
            </w:pPr>
            <w:r>
              <w:rPr>
                <w:rFonts w:ascii="Arial" w:cs="Arial" w:eastAsia="Arial" w:hAnsi="Arial"/>
                <w:sz w:val="20"/>
                <w:szCs w:val="20"/>
              </w:rPr>
              <w:t xml:space="preserve">Percentage advance before the base formed</w:t>
            </w:r>
          </w:p>
        </w:tc>
      </w:tr>
      <w:tr>
        <w:tc>
          <w:tcPr>
            <w:tcW w:type="dxa" w:w="2000"/>
          </w:tcPr>
          <w:p>
            <w:pPr>
              <w:spacing w:after="60"/>
            </w:pPr>
            <w:r>
              <w:rPr>
                <w:rFonts w:ascii="Arial" w:cs="Arial" w:eastAsia="Arial" w:hAnsi="Arial"/>
                <w:sz w:val="20"/>
                <w:szCs w:val="20"/>
              </w:rPr>
              <w:t xml:space="preserve">Notes</w:t>
            </w:r>
          </w:p>
        </w:tc>
        <w:tc>
          <w:tcPr>
            <w:tcW w:type="dxa" w:w="7360"/>
          </w:tcPr>
          <w:p>
            <w:pPr>
              <w:spacing w:after="60"/>
            </w:pPr>
            <w:r>
              <w:rPr>
                <w:rFonts w:ascii="Arial" w:cs="Arial" w:eastAsia="Arial" w:hAnsi="Arial"/>
                <w:sz w:val="20"/>
                <w:szCs w:val="20"/>
              </w:rPr>
              <w:t xml:space="preserve">Free-text field for observations, links, or reminders</w:t>
            </w:r>
          </w:p>
        </w:tc>
      </w:tr>
    </w:tbl>
    <w:p>
      <w:pPr>
        <w:spacing w:after="200" w:line="276"/>
      </w:pPr>
      <w:r>
        <w:rPr>
          <w:rFonts w:ascii="Arial" w:cs="Arial" w:eastAsia="Arial" w:hAnsi="Arial"/>
          <w:color w:val="333333"/>
          <w:sz w:val="22"/>
          <w:szCs w:val="22"/>
        </w:rPr>
        <w:t xml:space="preserve">You do not need to fill every field to add a position. The minimum required fields are Symbol, Pattern, and Pivot Price. However, the more data you provide, the more accurate the entry grade and the richer the dataset for the learning engine. At a minimum, always enter the RS Rating, Base Stage, Base Depth, and Base Length in addition to the required fields.</w:t>
      </w:r>
    </w:p>
    <w:tbl>
      <w:tblPr>
        <w:tblW w:type="dxa" w:w="9360"/>
        <w:tblBorders>
          <w:top w:val="single" w:color="auto" w:sz="4"/>
          <w:left w:val="single" w:color="auto" w:sz="4"/>
          <w:bottom w:val="single" w:color="auto" w:sz="4"/>
          <w:right w:val="single" w:color="auto" w:sz="4"/>
        </w:tblBorders>
      </w:tblPr>
      <w:tblGrid>
        <w:gridCol w:w="9360"/>
      </w:tblGrid>
      <w:tr>
        <w:tc>
          <w:tcPr>
            <w:tcW w:type="dxa" w:w="9360"/>
            <w:shd w:val="clear" w:fill="F2F2F2"/>
          </w:tcPr>
          <w:p>
            <w:pPr>
              <w:spacing w:after="100"/>
            </w:pPr>
            <w:r>
              <w:rPr>
                <w:rFonts w:ascii="Arial" w:cs="Arial" w:eastAsia="Arial" w:hAnsi="Arial"/>
                <w:b/>
                <w:sz w:val="22"/>
                <w:szCs w:val="22"/>
              </w:rPr>
              <w:t xml:space="preserve">The Score-First Workflow</w:t>
            </w:r>
          </w:p>
          <w:p>
            <w:pPr>
              <w:spacing w:after="100"/>
            </w:pPr>
            <w:r>
              <w:rPr>
                <w:rFonts w:ascii="Arial" w:cs="Arial" w:eastAsia="Arial" w:hAnsi="Arial"/>
                <w:sz w:val="22"/>
                <w:szCs w:val="22"/>
              </w:rPr>
              <w:t xml:space="preserve">The recommended workflow for every new watchlist addition is: (1) Find the candidate in MarketSurge during your screening routine. (2) Open Score Preview (Ctrl+Shift+S) and enter the base characteristics. (3) Review the calculated grade. If it’s below your threshold (typically B or higher), pass on the stock. (4) Click “Add to Watchlist” to carry the data into the Add Position dialog. (5) Fill in the remaining fields (CANSLIM ratings, institutional data, earnings date). (6) Click “Add to Watchlist” to create the State 0 position. The stock is now live in the system and the breakout thread will begin monitoring it on the next 60-second cycle.</w:t>
            </w:r>
          </w:p>
        </w:tc>
      </w:tr>
    </w:tbl>
    <w:p>
      <w:pPr>
        <w:pStyle w:val="Heading2"/>
        <w:spacing w:before="300" w:after="180"/>
      </w:pPr>
      <w:r>
        <w:rPr>
          <w:rFonts w:ascii="Arial" w:cs="Arial" w:eastAsia="Arial" w:hAnsi="Arial"/>
          <w:color w:val="2E74B5"/>
          <w:sz w:val="26"/>
          <w:szCs w:val="26"/>
        </w:rPr>
        <w:t xml:space="preserve">15.1 The Pre-Entry Checklist</w:t>
      </w:r>
    </w:p>
    <w:p>
      <w:pPr>
        <w:spacing w:after="200" w:line="276"/>
      </w:pPr>
      <w:r>
        <w:rPr>
          <w:rFonts w:ascii="Arial" w:cs="Arial" w:eastAsia="Arial" w:hAnsi="Arial"/>
          <w:color w:val="333333"/>
          <w:sz w:val="22"/>
          <w:szCs w:val="22"/>
        </w:rPr>
        <w:t xml:space="preserve">Before placing any order, run through the pre-entry checklist. This takes less than 60 seconds, and it prevents the most common execution errors.</w:t>
      </w:r>
    </w:p>
    <w:p>
      <w:pPr>
        <w:spacing w:after="200" w:line="276"/>
      </w:pPr>
      <w:r>
        <w:rPr>
          <w:rFonts w:ascii="Arial" w:cs="Arial" w:eastAsia="Arial" w:hAnsi="Arial"/>
          <w:color w:val="333333"/>
          <w:sz w:val="22"/>
          <w:szCs w:val="22"/>
        </w:rPr>
        <w:t xml:space="preserve">First, confirm the market regime. Check the Market Regime Banner in the GUI or the most recent market thread alert on Discord. If the market is in correction, do not enter regardless of how strong the individual stock looks. If the market is in Uptrend Under Pressure, proceed with extra caution and consider a smaller initial position. Only in a Confirmed Uptrend do you proceed with full conviction.</w:t>
      </w:r>
    </w:p>
    <w:p>
      <w:pPr>
        <w:spacing w:after="200" w:line="276"/>
      </w:pPr>
      <w:r>
        <w:rPr>
          <w:rFonts w:ascii="Arial" w:cs="Arial" w:eastAsia="Arial" w:hAnsi="Arial"/>
          <w:color w:val="333333"/>
          <w:sz w:val="22"/>
          <w:szCs w:val="22"/>
        </w:rPr>
        <w:t xml:space="preserve">Second, verify the setup on your own chart. Open the stock in MarketSurge and confirm the pattern, the pivot level, and the volume. The system is accurate, but you are the final quality check. Make sure the breakout looks the way you expect: price clearing the pivot with expanding volume, not a thin, unconvincing move on light participation.</w:t>
      </w:r>
    </w:p>
    <w:p>
      <w:pPr>
        <w:spacing w:after="200" w:line="276"/>
      </w:pPr>
      <w:r>
        <w:rPr>
          <w:rFonts w:ascii="Arial" w:cs="Arial" w:eastAsia="Arial" w:hAnsi="Arial"/>
          <w:color w:val="333333"/>
          <w:sz w:val="22"/>
          <w:szCs w:val="22"/>
        </w:rPr>
        <w:t xml:space="preserve">Third, check the earnings date. If earnings are within two weeks, the risk profile changes significantly. A stock can gap 10% or more on earnings, rendering your stop-loss ineffective. Many CANSLIM practitioners avoid initiating new positions within two weeks of an earnings report. If the earnings date is imminent, consider waiting until after the report.</w:t>
      </w:r>
    </w:p>
    <w:p>
      <w:pPr>
        <w:spacing w:after="200" w:line="276"/>
      </w:pPr>
      <w:r>
        <w:rPr>
          <w:rFonts w:ascii="Arial" w:cs="Arial" w:eastAsia="Arial" w:hAnsi="Arial"/>
          <w:color w:val="333333"/>
          <w:sz w:val="22"/>
          <w:szCs w:val="22"/>
        </w:rPr>
        <w:t xml:space="preserve">Fourth, confirm your position size and stop level. The breakout alert includes a recommended share count from the position sizer, calculated based on your configured account size and risk parameters. Verify that the recommended shares align with your current portfolio exposure and risk tolerance. Confirm the stop price: 7% to 8% below your intended entry price.</w:t>
      </w:r>
    </w:p>
    <w:p>
      <w:pPr>
        <w:pStyle w:val="Heading2"/>
        <w:spacing w:before="300" w:after="180"/>
      </w:pPr>
      <w:r>
        <w:rPr>
          <w:rFonts w:ascii="Arial" w:cs="Arial" w:eastAsia="Arial" w:hAnsi="Arial"/>
          <w:color w:val="2E74B5"/>
          <w:sz w:val="26"/>
          <w:szCs w:val="26"/>
        </w:rPr>
        <w:t xml:space="preserve">15.2 Order Execution</w:t>
      </w:r>
    </w:p>
    <w:p>
      <w:pPr>
        <w:spacing w:after="200" w:line="276"/>
      </w:pPr>
      <w:r>
        <w:rPr>
          <w:rFonts w:ascii="Arial" w:cs="Arial" w:eastAsia="Arial" w:hAnsi="Arial"/>
          <w:color w:val="333333"/>
          <w:sz w:val="22"/>
          <w:szCs w:val="22"/>
        </w:rPr>
        <w:t xml:space="preserve">With the checklist complete, you are ready to place the order. The system recommends buying 50% of your target position on the initial entry. This is not timidity; it is risk management. If the breakout fails immediately, you lose half of what you would have lost on a full position. If the breakout succeeds, you add the remaining shares at higher prices, confirming the stock's strength with each add.</w:t>
      </w:r>
    </w:p>
    <w:p>
      <w:pPr>
        <w:pStyle w:val="Heading3"/>
        <w:spacing w:before="240" w:after="160"/>
      </w:pPr>
      <w:r>
        <w:rPr>
          <w:rFonts w:ascii="Arial" w:cs="Arial" w:eastAsia="Arial" w:hAnsi="Arial"/>
          <w:color w:val="1F4D78"/>
          <w:sz w:val="24"/>
          <w:szCs w:val="24"/>
        </w:rPr>
        <w:t xml:space="preserve">Intraday Timing</w:t>
      </w:r>
    </w:p>
    <w:p>
      <w:pPr>
        <w:spacing w:after="200" w:line="276"/>
      </w:pPr>
      <w:r>
        <w:rPr>
          <w:rFonts w:ascii="Arial" w:cs="Arial" w:eastAsia="Arial" w:hAnsi="Arial"/>
          <w:color w:val="333333"/>
          <w:sz w:val="22"/>
          <w:szCs w:val="22"/>
        </w:rPr>
        <w:t xml:space="preserve">The first 5 to 15 minutes of the trading session are the most volatile. Stocks frequently gap up at the open and then pull back. If the breakout occurs at the open, consider waiting for the 25-to-30-minute mark, when the initial volatility subsides and a secondary entry opportunity often presents itself. If the breakout occurs mid-session, execute promptly because the price is already reflecting post-open conditions.</w:t>
      </w:r>
    </w:p>
    <w:p>
      <w:pPr>
        <w:spacing w:after="200" w:line="276"/>
      </w:pPr>
      <w:r>
        <w:rPr>
          <w:rFonts w:ascii="Arial" w:cs="Arial" w:eastAsia="Arial" w:hAnsi="Arial"/>
          <w:color w:val="333333"/>
          <w:sz w:val="22"/>
          <w:szCs w:val="22"/>
        </w:rPr>
        <w:t xml:space="preserve">If you cannot monitor the market during the day, use bracketed orders set the evening before. A bracketed order consists of a buy stop at your pivot price (or slightly above it) with an attached stop-loss order at your stop level. If the stock crosses the pivot, the buy executes automatically. If it subsequently falls to the stop level, the sell executes automatically. This approach allows you to participate in breakouts without being glued to the screen.</w:t>
      </w:r>
    </w:p>
    <w:p>
      <w:pPr>
        <w:pStyle w:val="Heading3"/>
        <w:spacing w:before="240" w:after="160"/>
      </w:pPr>
      <w:r>
        <w:rPr>
          <w:rFonts w:ascii="Arial" w:cs="Arial" w:eastAsia="Arial" w:hAnsi="Arial"/>
          <w:color w:val="1F4D78"/>
          <w:sz w:val="24"/>
          <w:szCs w:val="24"/>
        </w:rPr>
        <w:t xml:space="preserve">Order Types</w:t>
      </w:r>
    </w:p>
    <w:p>
      <w:pPr>
        <w:spacing w:after="200" w:line="276"/>
      </w:pPr>
      <w:r>
        <w:rPr>
          <w:rFonts w:ascii="Arial" w:cs="Arial" w:eastAsia="Arial" w:hAnsi="Arial"/>
          <w:color w:val="333333"/>
          <w:sz w:val="22"/>
          <w:szCs w:val="22"/>
        </w:rPr>
        <w:t xml:space="preserve">For breakout entries, a buy stop order is the most common choice. Set it at the pivot price plus ten cents. When the stock reaches that level, the order converts to a market order and fills at the best available price. In highly liquid stocks (50-day average volume above 400,000 shares), slippage is minimal.</w:t>
      </w:r>
    </w:p>
    <w:p>
      <w:pPr>
        <w:spacing w:after="200" w:line="276"/>
      </w:pPr>
      <w:r>
        <w:rPr>
          <w:rFonts w:ascii="Arial" w:cs="Arial" w:eastAsia="Arial" w:hAnsi="Arial"/>
          <w:color w:val="333333"/>
          <w:sz w:val="22"/>
          <w:szCs w:val="22"/>
        </w:rPr>
        <w:t xml:space="preserve">Alternatively, you can use a buy stop-limit order, which converts to a limit order rather than a market order when triggered. This prevents excessive slippage in fast-moving stocks, but it carries the risk of missing the entry entirely if the stock gaps past your limit. For most CANSLIM entries in liquid stocks, a simple buy stop is sufficient.</w:t>
      </w:r>
    </w:p>
    <w:p>
      <w:pPr>
        <w:pStyle w:val="Heading2"/>
        <w:spacing w:before="300" w:after="180"/>
      </w:pPr>
      <w:r>
        <w:rPr>
          <w:rFonts w:ascii="Arial" w:cs="Arial" w:eastAsia="Arial" w:hAnsi="Arial"/>
          <w:color w:val="2E74B5"/>
          <w:sz w:val="26"/>
          <w:szCs w:val="26"/>
        </w:rPr>
        <w:t xml:space="preserve">15.3 Recording the Entry in the System</w:t>
      </w:r>
    </w:p>
    <w:p>
      <w:pPr>
        <w:spacing w:after="200" w:line="276"/>
      </w:pPr>
      <w:r>
        <w:rPr>
          <w:rFonts w:ascii="Arial" w:cs="Arial" w:eastAsia="Arial" w:hAnsi="Arial"/>
          <w:color w:val="333333"/>
          <w:sz w:val="22"/>
          <w:szCs w:val="22"/>
        </w:rPr>
        <w:t xml:space="preserve">After your order fills, update the system immediately. Open the GUI and find the position on the Kanban board (it will be in the Watching column). To advance the state from 0 (Watching) to 1 (Initial Position), either drag the position card from the Watching column to the Initial Position column, or right-click the card and select “Move to” and choose Initial Position. Then double-click the card to open the edit dialog, enter the E1 price (your fill price), the E1 shares (the number of shares purchased), and the E1 date, and save the changes.</w:t>
      </w:r>
    </w:p>
    <w:p>
      <w:pPr>
        <w:spacing w:after="200" w:line="276"/>
      </w:pPr>
      <w:r>
        <w:rPr>
          <w:rFonts w:ascii="Arial" w:cs="Arial" w:eastAsia="Arial" w:hAnsi="Arial"/>
          <w:color w:val="333333"/>
          <w:sz w:val="22"/>
          <w:szCs w:val="22"/>
        </w:rPr>
        <w:t xml:space="preserve">This update triggers two important things. First, the position moves from the Watching column to the Initial Position column on the Kanban board, giving you a visual confirmation that the trade is active. Second, the position thread takes over monitoring, checking this position every 30 seconds for stop violations, pyramid opportunities, and profit targets. The breakout thread stops monitoring this symbol because it is no longer in State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Why 50% on the Initial Entry?</w:t>
            </w:r>
          </w:p>
          <w:p>
            <w:pPr>
              <w:spacing w:after="100" w:line="276"/>
            </w:pPr>
            <w:r>
              <w:rPr>
                <w:rFonts w:ascii="Arial" w:cs="Arial" w:eastAsia="Arial" w:hAnsi="Arial"/>
                <w:color w:val="333333"/>
                <w:sz w:val="21"/>
                <w:szCs w:val="21"/>
              </w:rPr>
              <w:t xml:space="preserve">The 50/25/25 pyramid structure is a core IBD risk management principle. If you buy a full position on the breakout and the stock immediately reverses, you take a full-sized loss. If you buy 50% and the stock reverses, your loss is half the size. The other 50% is only deployed after the stock proves itself by advancing from your entry, confirming that the breakout has institutional follow-through. You earn the right to a full position through the stock’s behavior, not through your prediction.</w:t>
            </w:r>
          </w:p>
        </w:tc>
      </w:tr>
    </w:tbl>
    <w:p>
      <w:r>
        <w:br w:type="page"/>
      </w:r>
    </w:p>
    <w:p>
      <w:pPr>
        <w:pStyle w:val="Heading1"/>
        <w:spacing w:before="360" w:after="200"/>
      </w:pPr>
      <w:r>
        <w:rPr>
          <w:rFonts w:ascii="Arial" w:cs="Arial" w:eastAsia="Arial" w:hAnsi="Arial"/>
          <w:color w:val="2E74B5"/>
          <w:sz w:val="32"/>
          <w:szCs w:val="32"/>
        </w:rPr>
        <w:t xml:space="preserve">Chapter 16: Building the Position — Pyramiding</w:t>
      </w:r>
    </w:p>
    <w:p>
      <w:pPr>
        <w:spacing w:after="200" w:line="276"/>
      </w:pPr>
      <w:r>
        <w:rPr>
          <w:rFonts w:ascii="Arial" w:cs="Arial" w:eastAsia="Arial" w:hAnsi="Arial"/>
          <w:color w:val="333333"/>
          <w:sz w:val="22"/>
          <w:szCs w:val="22"/>
        </w:rPr>
        <w:t xml:space="preserve">The initial entry is a test. You have committed 50% of your planned capital to this stock. Now you watch to see whether the stock confirms the breakout by advancing from your entry or denies it by reversing. The pyramid strategy dictates how and when you add the remaining 50%.</w:t>
      </w:r>
    </w:p>
    <w:p>
      <w:pPr>
        <w:pStyle w:val="Heading2"/>
        <w:spacing w:before="300" w:after="180"/>
      </w:pPr>
      <w:r>
        <w:rPr>
          <w:rFonts w:ascii="Arial" w:cs="Arial" w:eastAsia="Arial" w:hAnsi="Arial"/>
          <w:color w:val="2E74B5"/>
          <w:sz w:val="26"/>
          <w:szCs w:val="26"/>
        </w:rPr>
        <w:t xml:space="preserve">16.1 The 50/25/25 Framework</w:t>
      </w:r>
    </w:p>
    <w:p>
      <w:pPr>
        <w:spacing w:after="200" w:line="276"/>
      </w:pPr>
      <w:r>
        <w:rPr>
          <w:rFonts w:ascii="Arial" w:cs="Arial" w:eastAsia="Arial" w:hAnsi="Arial"/>
          <w:color w:val="333333"/>
          <w:sz w:val="22"/>
          <w:szCs w:val="22"/>
        </w:rPr>
        <w:t xml:space="preserve">IBD methodology recommends building positions in three tranches: 50% on the initial entry, 25% on the first pyramid (P1), and 25% on the second pyramid (P2). This structure ensures that you have the most shares at the lowest price and progressively fewer shares at each higher level, keeping your average cost well below the current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Tranche</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Position %</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Cumulative</w:t>
            </w:r>
          </w:p>
        </w:tc>
        <w:tc>
          <w:tcPr>
            <w:tcW w:type="dxa" w:w="3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Trigger Condition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E1 (Initial)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50%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50%</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Breakout confirmed with volume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P1 (Pyramid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Stock 2-2.5% above entry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P2 (Pyramid 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100%</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Stock 4-5% above entry</w:t>
            </w:r>
          </w:p>
        </w:tc>
      </w:tr>
    </w:tbl>
    <w:p>
      <w:pPr>
        <w:spacing w:after="120"/>
      </w:pPr>
    </w:p>
    <w:p>
      <w:pPr>
        <w:spacing w:after="200" w:line="276"/>
      </w:pPr>
      <w:r>
        <w:rPr>
          <w:rFonts w:ascii="Arial" w:cs="Arial" w:eastAsia="Arial" w:hAnsi="Arial"/>
          <w:color w:val="333333"/>
          <w:sz w:val="22"/>
          <w:szCs w:val="22"/>
        </w:rPr>
        <w:t xml:space="preserve">The trigger conditions are critical. You only add shares when the stock is advancing from your entry price, never when it is declining. This is the fundamental principle of pyramiding: add to winners, never average down on losers. If a stock drops from your entry price, it is telling you something is wrong with the trade. Adding more shares to a losing position increases your risk when the evidence says you should be reducing it.</w:t>
      </w:r>
    </w:p>
    <w:p>
      <w:pPr>
        <w:pStyle w:val="Heading2"/>
        <w:spacing w:before="300" w:after="180"/>
      </w:pPr>
      <w:r>
        <w:rPr>
          <w:rFonts w:ascii="Arial" w:cs="Arial" w:eastAsia="Arial" w:hAnsi="Arial"/>
          <w:color w:val="2E74B5"/>
          <w:sz w:val="26"/>
          <w:szCs w:val="26"/>
        </w:rPr>
        <w:t xml:space="preserve">16.2 How the System Tracks Pyramids</w:t>
      </w:r>
    </w:p>
    <w:p>
      <w:pPr>
        <w:spacing w:after="200" w:line="276"/>
      </w:pPr>
      <w:r>
        <w:rPr>
          <w:rFonts w:ascii="Arial" w:cs="Arial" w:eastAsia="Arial" w:hAnsi="Arial"/>
          <w:color w:val="333333"/>
          <w:sz w:val="22"/>
          <w:szCs w:val="22"/>
        </w:rPr>
        <w:t xml:space="preserve">The position thread monitors active positions for pyramid opportunities. When a stock reaches the P1 zone (2% to 5% above your E1 entry price), it generates a P1 Ready alert on Discord and updates the position card in the GUI. This alert includes the recommended number of additional shares (25% of the target position) and the updated average cost basis if you execute the add.</w:t>
      </w:r>
    </w:p>
    <w:p>
      <w:pPr>
        <w:spacing w:after="200" w:line="276"/>
      </w:pPr>
      <w:r>
        <w:rPr>
          <w:rFonts w:ascii="Arial" w:cs="Arial" w:eastAsia="Arial" w:hAnsi="Arial"/>
          <w:color w:val="333333"/>
          <w:sz w:val="22"/>
          <w:szCs w:val="22"/>
        </w:rPr>
        <w:t xml:space="preserve">If the stock advances past the P1 zone before you can act, the system generates a P1 Extended alert, informing you that the first pyramid opportunity has passed. Do not chase it. Wait for either the P2 zone or a pullback to the 21-day EMA for your next add opportunity.</w:t>
      </w:r>
    </w:p>
    <w:p>
      <w:pPr>
        <w:spacing w:after="200" w:line="276"/>
      </w:pPr>
      <w:r>
        <w:rPr>
          <w:rFonts w:ascii="Arial" w:cs="Arial" w:eastAsia="Arial" w:hAnsi="Arial"/>
          <w:color w:val="333333"/>
          <w:sz w:val="22"/>
          <w:szCs w:val="22"/>
        </w:rPr>
        <w:t xml:space="preserve">When the stock reaches the P2 zone (5% to 10% above your E1 entry price), the system generates a P2 Ready alert. After executing P2, your position is at full size (100% of target). From this point forward, no further adding is recommended. The position is fully built, and your focus shifts to monitoring and eventual profit-taking.</w:t>
      </w:r>
    </w:p>
    <w:p>
      <w:pPr>
        <w:pStyle w:val="Heading2"/>
        <w:spacing w:before="300" w:after="180"/>
      </w:pPr>
      <w:r>
        <w:rPr>
          <w:rFonts w:ascii="Arial" w:cs="Arial" w:eastAsia="Arial" w:hAnsi="Arial"/>
          <w:color w:val="2E74B5"/>
          <w:sz w:val="26"/>
          <w:szCs w:val="26"/>
        </w:rPr>
        <w:t xml:space="preserve">16.3 Recording Pyramid Adds</w:t>
      </w:r>
    </w:p>
    <w:p>
      <w:pPr>
        <w:spacing w:after="200" w:line="276"/>
      </w:pPr>
      <w:r>
        <w:rPr>
          <w:rFonts w:ascii="Arial" w:cs="Arial" w:eastAsia="Arial" w:hAnsi="Arial"/>
          <w:color w:val="333333"/>
          <w:sz w:val="22"/>
          <w:szCs w:val="22"/>
        </w:rPr>
        <w:t xml:space="preserve">After each pyramid fill, update the position in the GUI. Drag the position card to the next column on the Kanban board, or right-click the card and select “Move to” to advance the state. Then double-click the card to open the edit dialog. For P1, enter the E2 price, E2 shares, and E2 date. For P2, enter the E3 price, E3 shares, and E3 date. The system automatically calculates the weighted average cost from all tranches and updates the P&amp;L display accordingly.</w:t>
      </w:r>
    </w:p>
    <w:p>
      <w:pPr>
        <w:spacing w:after="200" w:line="276"/>
      </w:pPr>
      <w:r>
        <w:rPr>
          <w:rFonts w:ascii="Arial" w:cs="Arial" w:eastAsia="Arial" w:hAnsi="Arial"/>
          <w:color w:val="333333"/>
          <w:sz w:val="22"/>
          <w:szCs w:val="22"/>
        </w:rPr>
        <w:t xml:space="preserve">Each add also advances the position state on the Kanban board: from State 1 to State 2 after P1, and from State 2 to State 3 after P2. This visual progression lets you see at a glance which positions are fully built and which are still in the pyramiding phase.</w:t>
      </w:r>
    </w:p>
    <w:p>
      <w:pPr>
        <w:pStyle w:val="Heading2"/>
        <w:spacing w:before="300" w:after="180"/>
      </w:pPr>
      <w:r>
        <w:rPr>
          <w:rFonts w:ascii="Arial" w:cs="Arial" w:eastAsia="Arial" w:hAnsi="Arial"/>
          <w:color w:val="2E74B5"/>
          <w:sz w:val="26"/>
          <w:szCs w:val="26"/>
        </w:rPr>
        <w:t xml:space="preserve">16.4 When Not to Pyramid</w:t>
      </w:r>
    </w:p>
    <w:p>
      <w:pPr>
        <w:spacing w:after="200" w:line="276"/>
      </w:pPr>
      <w:r>
        <w:rPr>
          <w:rFonts w:ascii="Arial" w:cs="Arial" w:eastAsia="Arial" w:hAnsi="Arial"/>
          <w:color w:val="333333"/>
          <w:sz w:val="22"/>
          <w:szCs w:val="22"/>
        </w:rPr>
        <w:t xml:space="preserve">There are situations where adding to a position is inappropriate, even if the stock is advancing. If the market regime has shifted from Confirmed Uptrend to Uptrend Under Pressure since your initial entry, consider holding your current position rather than adding more capital. If the stock is approaching its earnings date, avoid adding shares that could be exposed to a post-earnings gap. If your portfolio is already concentrated (more than two or three active positions), the marginal risk of adding to any single position increases.</w:t>
      </w:r>
    </w:p>
    <w:p>
      <w:pPr>
        <w:spacing w:after="200" w:line="276"/>
      </w:pPr>
      <w:r>
        <w:rPr>
          <w:rFonts w:ascii="Arial" w:cs="Arial" w:eastAsia="Arial" w:hAnsi="Arial"/>
          <w:color w:val="333333"/>
          <w:sz w:val="22"/>
          <w:szCs w:val="22"/>
        </w:rPr>
        <w:t xml:space="preserve">The system does not automatically suppress pyramid alerts in these conditions (except for market regime suppression), so you must apply your own judgment. The alert tells you the stock has reached the pyramid zone; you decide whether conditions warrant adding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Position Sizing Math</w:t>
            </w:r>
          </w:p>
          <w:p>
            <w:pPr>
              <w:spacing w:after="100" w:line="276"/>
            </w:pPr>
            <w:r>
              <w:rPr>
                <w:rFonts w:ascii="Arial" w:cs="Arial" w:eastAsia="Arial" w:hAnsi="Arial"/>
                <w:color w:val="333333"/>
                <w:sz w:val="21"/>
                <w:szCs w:val="21"/>
              </w:rPr>
              <w:t xml:space="preserve">Suppose your account is $100,000 and you risk 1% per trade ($1,000). Your stop is 7% below the pivot at $140, so the stop price is $130.20. The risk per share is $9.80. Maximum risk-based position: $1,000 ÷ $9.80 = 102 shares. The initial entry (50%) would be 51 shares. P1 (25%) adds 26 shares. P2 (25%) adds 25 shares. Total position: 102 shares, approximately $14,280 invested. This is 14.3% of the account, within the typical 10-15% maximum position concentration guideline.</w:t>
            </w:r>
          </w:p>
        </w:tc>
      </w:tr>
    </w:tbl>
    <w:p>
      <w:r>
        <w:br w:type="page"/>
      </w:r>
    </w:p>
    <w:p>
      <w:pPr>
        <w:pStyle w:val="Heading1"/>
        <w:spacing w:before="360" w:after="200"/>
      </w:pPr>
      <w:r>
        <w:rPr>
          <w:rFonts w:ascii="Arial" w:cs="Arial" w:eastAsia="Arial" w:hAnsi="Arial"/>
          <w:color w:val="2E74B5"/>
          <w:sz w:val="32"/>
          <w:szCs w:val="32"/>
        </w:rPr>
        <w:t xml:space="preserve">Chapter 17: The Sell Rules — Offense and Defense</w:t>
      </w:r>
    </w:p>
    <w:p>
      <w:pPr>
        <w:spacing w:after="200" w:line="276"/>
      </w:pPr>
      <w:r>
        <w:rPr>
          <w:rFonts w:ascii="Arial" w:cs="Arial" w:eastAsia="Arial" w:hAnsi="Arial"/>
          <w:color w:val="333333"/>
          <w:sz w:val="22"/>
          <w:szCs w:val="22"/>
        </w:rPr>
        <w:t xml:space="preserve">Every trade ends in a sell. The question is whether you sell on your terms (taking a planned profit or cutting a planned loss) or on the market’s terms (panicking out of a position after an unplanned decline). The sell rules are the framework that ensures you almost always sell on your terms.</w:t>
      </w:r>
    </w:p>
    <w:p>
      <w:pPr>
        <w:spacing w:after="200" w:line="276"/>
      </w:pPr>
      <w:r>
        <w:rPr>
          <w:rFonts w:ascii="Arial" w:cs="Arial" w:eastAsia="Arial" w:hAnsi="Arial"/>
          <w:color w:val="333333"/>
          <w:sz w:val="22"/>
          <w:szCs w:val="22"/>
        </w:rPr>
        <w:t xml:space="preserve">The CANSLIM sell rules divide into two categories: offensive sells, where you take profits from a winning position, and defensive sells, where you cut losses or protect remaining gains. Both are equally important. Offensive sells compound your capital. Defensive sells preserve it.</w:t>
      </w:r>
    </w:p>
    <w:p>
      <w:pPr>
        <w:pStyle w:val="Heading2"/>
        <w:spacing w:before="300" w:after="180"/>
      </w:pPr>
      <w:r>
        <w:rPr>
          <w:rFonts w:ascii="Arial" w:cs="Arial" w:eastAsia="Arial" w:hAnsi="Arial"/>
          <w:color w:val="2E74B5"/>
          <w:sz w:val="26"/>
          <w:szCs w:val="26"/>
        </w:rPr>
        <w:t xml:space="preserve">17.1 The 3:1 Reward-to-Risk Principle</w:t>
      </w:r>
    </w:p>
    <w:p>
      <w:pPr>
        <w:spacing w:after="200" w:line="276"/>
      </w:pPr>
      <w:r>
        <w:rPr>
          <w:rFonts w:ascii="Arial" w:cs="Arial" w:eastAsia="Arial" w:hAnsi="Arial"/>
          <w:color w:val="333333"/>
          <w:sz w:val="22"/>
          <w:szCs w:val="22"/>
        </w:rPr>
        <w:t xml:space="preserve">The foundational math of CANSLIM selling is the 3:1 ratio: you target 20% to 25% profits and limit losses to 7% to 8%. This ratio means you can be wrong on three out of four trades and still break even. In practice, CANSLIM investors who follow the rules are right significantly more than 25% of the time, which means the compounding effect of consistent 20% gains combined with small, well-controlled losses produces substantial long-term returns.</w:t>
      </w:r>
    </w:p>
    <w:p>
      <w:pPr>
        <w:spacing w:after="200" w:line="276"/>
      </w:pPr>
      <w:r>
        <w:rPr>
          <w:rFonts w:ascii="Arial" w:cs="Arial" w:eastAsia="Arial" w:hAnsi="Arial"/>
          <w:color w:val="333333"/>
          <w:sz w:val="22"/>
          <w:szCs w:val="22"/>
        </w:rPr>
        <w:t xml:space="preserve">This is not a rigid formula. In strong markets with high-quality breakouts, you may let profits run well beyond 25%. In choppy markets where breakouts fail frequently, you may take profits at 10% to 15% rather than waiting for the full 20%. The 20-25% target is a baseline, not a ceiling.</w:t>
      </w:r>
    </w:p>
    <w:p>
      <w:pPr>
        <w:pStyle w:val="Heading2"/>
        <w:spacing w:before="300" w:after="180"/>
      </w:pPr>
      <w:r>
        <w:rPr>
          <w:rFonts w:ascii="Arial" w:cs="Arial" w:eastAsia="Arial" w:hAnsi="Arial"/>
          <w:color w:val="2E74B5"/>
          <w:sz w:val="26"/>
          <w:szCs w:val="26"/>
        </w:rPr>
        <w:t xml:space="preserve">17.2 Offensive Sell Rules</w:t>
      </w:r>
    </w:p>
    <w:p>
      <w:pPr>
        <w:pStyle w:val="Heading3"/>
        <w:spacing w:before="240" w:after="160"/>
      </w:pPr>
      <w:r>
        <w:rPr>
          <w:rFonts w:ascii="Arial" w:cs="Arial" w:eastAsia="Arial" w:hAnsi="Arial"/>
          <w:color w:val="1F4D78"/>
          <w:sz w:val="24"/>
          <w:szCs w:val="24"/>
        </w:rPr>
        <w:t xml:space="preserve">Profit Target 1 (TP1): 20-25% Above Entry</w:t>
      </w:r>
    </w:p>
    <w:p>
      <w:pPr>
        <w:spacing w:after="200" w:line="276"/>
      </w:pPr>
      <w:r>
        <w:rPr>
          <w:rFonts w:ascii="Arial" w:cs="Arial" w:eastAsia="Arial" w:hAnsi="Arial"/>
          <w:color w:val="333333"/>
          <w:sz w:val="22"/>
          <w:szCs w:val="22"/>
        </w:rPr>
        <w:t xml:space="preserve">When a stock reaches 20% to 25% above your average cost, the position thread generates a TP1 alert. This is your primary profit-taking signal. The standard action is to sell approximately one-third of your position, locking in profits while leaving the majority of shares in place for further gains.</w:t>
      </w:r>
    </w:p>
    <w:p>
      <w:pPr>
        <w:spacing w:after="200" w:line="276"/>
      </w:pPr>
      <w:r>
        <w:rPr>
          <w:rFonts w:ascii="Arial" w:cs="Arial" w:eastAsia="Arial" w:hAnsi="Arial"/>
          <w:color w:val="333333"/>
          <w:sz w:val="22"/>
          <w:szCs w:val="22"/>
        </w:rPr>
        <w:t xml:space="preserve">After taking TP1, advance the position state from State 3 (Full Position) to State 4 (Taking Profits — TP1) by dragging the card to the TP1 column or right-clicking and selecting “Move to.” Then double-click the card to record the TP1 shares sold, the TP1 price, and the TP1 date. The system updates the remaining share count and recalculates the P&amp;L based on the reduced position.</w:t>
      </w:r>
    </w:p>
    <w:p>
      <w:pPr>
        <w:pStyle w:val="Heading3"/>
        <w:spacing w:before="240" w:after="160"/>
      </w:pPr>
      <w:r>
        <w:rPr>
          <w:rFonts w:ascii="Arial" w:cs="Arial" w:eastAsia="Arial" w:hAnsi="Arial"/>
          <w:color w:val="1F4D78"/>
          <w:sz w:val="24"/>
          <w:szCs w:val="24"/>
        </w:rPr>
        <w:t xml:space="preserve">Profit Target 2 (TP2): 25%+ Above Entry</w:t>
      </w:r>
    </w:p>
    <w:p>
      <w:pPr>
        <w:spacing w:after="200" w:line="276"/>
      </w:pPr>
      <w:r>
        <w:rPr>
          <w:rFonts w:ascii="Arial" w:cs="Arial" w:eastAsia="Arial" w:hAnsi="Arial"/>
          <w:color w:val="333333"/>
          <w:sz w:val="22"/>
          <w:szCs w:val="22"/>
        </w:rPr>
        <w:t xml:space="preserve">If the stock continues advancing, a second profit-taking opportunity arrives at 25% or more above your entry. The TP2 alert prompts you to sell approximately half of your remaining shares, bringing your total position to roughly one-third of the original size. This remaining tranche is held with a trailing approach: you let it ride as long as the stock stays above its key moving averages and shows no signs of exhaustion.</w:t>
      </w:r>
    </w:p>
    <w:p>
      <w:pPr>
        <w:pStyle w:val="Heading3"/>
        <w:spacing w:before="240" w:after="160"/>
      </w:pPr>
      <w:r>
        <w:rPr>
          <w:rFonts w:ascii="Arial" w:cs="Arial" w:eastAsia="Arial" w:hAnsi="Arial"/>
          <w:color w:val="1F4D78"/>
          <w:sz w:val="24"/>
          <w:szCs w:val="24"/>
        </w:rPr>
        <w:t xml:space="preserve">Climax Top: Recognizing Exhaustion</w:t>
      </w:r>
    </w:p>
    <w:p>
      <w:pPr>
        <w:spacing w:after="200" w:line="276"/>
      </w:pPr>
      <w:r>
        <w:rPr>
          <w:rFonts w:ascii="Arial" w:cs="Arial" w:eastAsia="Arial" w:hAnsi="Arial"/>
          <w:color w:val="333333"/>
          <w:sz w:val="22"/>
          <w:szCs w:val="22"/>
        </w:rPr>
        <w:t xml:space="preserve">A climax top is one of the most important offensive sell signals. It occurs at the end of a long stock advance, typically after months of gains, and is characterized by one or more of the following: the stock makes its largest single-day gain since the start of the advance, the stock gaps up on massive volume but closes near the low of the day (an exhaustion gap), or the stock advances rapidly over one to three weeks in a near-vertical fashion.</w:t>
      </w:r>
    </w:p>
    <w:p>
      <w:pPr>
        <w:spacing w:after="200" w:line="276"/>
      </w:pPr>
      <w:r>
        <w:rPr>
          <w:rFonts w:ascii="Arial" w:cs="Arial" w:eastAsia="Arial" w:hAnsi="Arial"/>
          <w:color w:val="333333"/>
          <w:sz w:val="22"/>
          <w:szCs w:val="22"/>
        </w:rPr>
        <w:t xml:space="preserve">The position thread generates a Climax Top alert when it detects these patterns. A climax top is a signal to sell the remaining position, regardless of whether you have reached your profit targets. Stocks that exhibit climax behavior frequently decline sharply in the weeks that follow, often falling 30% or more from their peak. Selling into the climax captures profits near the high.</w:t>
      </w:r>
    </w:p>
    <w:p>
      <w:pPr>
        <w:pStyle w:val="Heading2"/>
        <w:spacing w:before="300" w:after="180"/>
      </w:pPr>
      <w:r>
        <w:rPr>
          <w:rFonts w:ascii="Arial" w:cs="Arial" w:eastAsia="Arial" w:hAnsi="Arial"/>
          <w:color w:val="2E74B5"/>
          <w:sz w:val="26"/>
          <w:szCs w:val="26"/>
        </w:rPr>
        <w:t xml:space="preserve">17.3 Defensive Sell Rules</w:t>
      </w:r>
    </w:p>
    <w:p>
      <w:pPr>
        <w:pStyle w:val="Heading3"/>
        <w:spacing w:before="240" w:after="160"/>
      </w:pPr>
      <w:r>
        <w:rPr>
          <w:rFonts w:ascii="Arial" w:cs="Arial" w:eastAsia="Arial" w:hAnsi="Arial"/>
          <w:color w:val="1F4D78"/>
          <w:sz w:val="24"/>
          <w:szCs w:val="24"/>
        </w:rPr>
        <w:t xml:space="preserve">The 7-8% Stop Loss</w:t>
      </w:r>
    </w:p>
    <w:p>
      <w:pPr>
        <w:spacing w:after="200" w:line="276"/>
      </w:pPr>
      <w:r>
        <w:rPr>
          <w:rFonts w:ascii="Arial" w:cs="Arial" w:eastAsia="Arial" w:hAnsi="Arial"/>
          <w:color w:val="333333"/>
          <w:sz w:val="22"/>
          <w:szCs w:val="22"/>
        </w:rPr>
        <w:t xml:space="preserve">This is the non-negotiable foundation of CANSLIM risk management. When a stock declines 7% to 8% below your purchase price, sell. No exceptions. No hoping it will come back. No averaging down. Every major loss in investing history started as a small loss that was not taken. O’Neil was emphatic: the 7-8% stop is both a risk management tool and a diagnostic one. Stocks that break out properly from sound bases with institutional volume do not typically fall 8% from the entry. If yours does, something is wrong with the stock, the setup, or the market.</w:t>
      </w:r>
    </w:p>
    <w:p>
      <w:pPr>
        <w:spacing w:after="200" w:line="276"/>
      </w:pPr>
      <w:r>
        <w:rPr>
          <w:rFonts w:ascii="Arial" w:cs="Arial" w:eastAsia="Arial" w:hAnsi="Arial"/>
          <w:color w:val="333333"/>
          <w:sz w:val="22"/>
          <w:szCs w:val="22"/>
        </w:rPr>
        <w:t xml:space="preserve">The position thread monitors this continuously. When the stock drops to within 1% of the stop level, it generates a Stop Warning alert. When the stop is hit, it generates a Hard Stop alert. The system does not execute the sell automatically; it alerts you to act. You place the sell order yourself, maintaining human control over every trade.</w:t>
      </w:r>
    </w:p>
    <w:p>
      <w:pPr>
        <w:pStyle w:val="Heading3"/>
        <w:spacing w:before="240" w:after="160"/>
      </w:pPr>
      <w:r>
        <w:rPr>
          <w:rFonts w:ascii="Arial" w:cs="Arial" w:eastAsia="Arial" w:hAnsi="Arial"/>
          <w:color w:val="1F4D78"/>
          <w:sz w:val="24"/>
          <w:szCs w:val="24"/>
        </w:rPr>
        <w:t xml:space="preserve">The 50-Day Moving Average Sell</w:t>
      </w:r>
    </w:p>
    <w:p>
      <w:pPr>
        <w:spacing w:after="200" w:line="276"/>
      </w:pPr>
      <w:r>
        <w:rPr>
          <w:rFonts w:ascii="Arial" w:cs="Arial" w:eastAsia="Arial" w:hAnsi="Arial"/>
          <w:color w:val="333333"/>
          <w:sz w:val="22"/>
          <w:szCs w:val="22"/>
        </w:rPr>
        <w:t xml:space="preserve">A close 4% to 5% below the 50-day moving average on above-average volume is a sell signal. This rule recognizes that the 50-day line is a key institutional support level. When a stock breaks decisively below it on heavy volume, institutions are no longer defending the stock at that level, and further declines are likely.</w:t>
      </w:r>
    </w:p>
    <w:p>
      <w:pPr>
        <w:spacing w:after="200" w:line="276"/>
      </w:pPr>
      <w:r>
        <w:rPr>
          <w:rFonts w:ascii="Arial" w:cs="Arial" w:eastAsia="Arial" w:hAnsi="Arial"/>
          <w:color w:val="333333"/>
          <w:sz w:val="22"/>
          <w:szCs w:val="22"/>
        </w:rPr>
        <w:t xml:space="preserve">The system generates a 50 MA Warning when the stock tests the 50-day line and a 50 MA Sell when it closes below the line on confirming volume. Note that volume confirmation is required: a close below the 50-day on light volume may be a temporary pullback, not a genuine breakdown. The YAML configuration parameter require_volume_confirmation controls this behavior.</w:t>
      </w:r>
    </w:p>
    <w:p>
      <w:pPr>
        <w:pStyle w:val="Heading3"/>
        <w:spacing w:before="240" w:after="160"/>
      </w:pPr>
      <w:r>
        <w:rPr>
          <w:rFonts w:ascii="Arial" w:cs="Arial" w:eastAsia="Arial" w:hAnsi="Arial"/>
          <w:color w:val="1F4D78"/>
          <w:sz w:val="24"/>
          <w:szCs w:val="24"/>
        </w:rPr>
        <w:t xml:space="preserve">The 10-Week Moving Average Sell</w:t>
      </w:r>
    </w:p>
    <w:p>
      <w:pPr>
        <w:spacing w:after="200" w:line="276"/>
      </w:pPr>
      <w:r>
        <w:rPr>
          <w:rFonts w:ascii="Arial" w:cs="Arial" w:eastAsia="Arial" w:hAnsi="Arial"/>
          <w:color w:val="333333"/>
          <w:sz w:val="22"/>
          <w:szCs w:val="22"/>
        </w:rPr>
        <w:t xml:space="preserve">On the weekly chart, the 10-week moving average serves the same function as the 50-day on the daily chart, but with a longer-term perspective. A decisive weekly close below the 10-week line on above-average volume is a significant sell signal, particularly if the stock has already violated the line in previous weeks (showing weakening bounces).</w:t>
      </w:r>
    </w:p>
    <w:p>
      <w:pPr>
        <w:spacing w:after="200" w:line="276"/>
      </w:pPr>
      <w:r>
        <w:rPr>
          <w:rFonts w:ascii="Arial" w:cs="Arial" w:eastAsia="Arial" w:hAnsi="Arial"/>
          <w:color w:val="333333"/>
          <w:sz w:val="22"/>
          <w:szCs w:val="22"/>
        </w:rPr>
        <w:t xml:space="preserve">The distinction between daily and weekly is important. A stock might close below its 50-day line on a single volatile day and recover the next day, which is noise. But a stock that closes the entire week below its 10-week line has sustained the breakdown for five trading sessions, which is signal. The position thread tracks both, but the weekly signal carries more weight.</w:t>
      </w:r>
    </w:p>
    <w:p>
      <w:pPr>
        <w:pStyle w:val="Heading3"/>
        <w:spacing w:before="240" w:after="160"/>
      </w:pPr>
      <w:r>
        <w:rPr>
          <w:rFonts w:ascii="Arial" w:cs="Arial" w:eastAsia="Arial" w:hAnsi="Arial"/>
          <w:color w:val="1F4D78"/>
          <w:sz w:val="24"/>
          <w:szCs w:val="24"/>
        </w:rPr>
        <w:t xml:space="preserve">Market Turns to Correction</w:t>
      </w:r>
    </w:p>
    <w:p>
      <w:pPr>
        <w:spacing w:after="200" w:line="276"/>
      </w:pPr>
      <w:r>
        <w:rPr>
          <w:rFonts w:ascii="Arial" w:cs="Arial" w:eastAsia="Arial" w:hAnsi="Arial"/>
          <w:color w:val="333333"/>
          <w:sz w:val="22"/>
          <w:szCs w:val="22"/>
        </w:rPr>
        <w:t xml:space="preserve">When the market thread shifts the regime to Market in Correction, the position thread adjusts its behavior. It does not automatically generate sell signals for all positions, but it increases the urgency of any existing warning signals. A stock that is testing its 50-day line during a market correction receives more aggressive sell recommendations than the same test during a confirmed uptrend. The system recognizes that individual stock risk is amplified when the overall market is hostile.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Sell Rule Summary</w:t>
            </w:r>
          </w:p>
          <w:p>
            <w:pPr>
              <w:spacing w:after="100" w:line="276"/>
            </w:pPr>
            <w:r>
              <w:rPr>
                <w:rFonts w:ascii="Arial" w:cs="Arial" w:eastAsia="Arial" w:hAnsi="Arial"/>
                <w:color w:val="333333"/>
                <w:sz w:val="21"/>
                <w:szCs w:val="21"/>
              </w:rPr>
              <w:t xml:space="preserve">Offensive (Taking Profits): TP1 at 20-25%, TP2 at 25%+, climax top behavior, eight-week hold completion.</w:t>
            </w:r>
          </w:p>
          <w:p>
            <w:pPr>
              <w:spacing w:after="100" w:line="276"/>
            </w:pPr>
            <w:r>
              <w:rPr>
                <w:rFonts w:ascii="Arial" w:cs="Arial" w:eastAsia="Arial" w:hAnsi="Arial"/>
                <w:color w:val="333333"/>
                <w:sz w:val="21"/>
                <w:szCs w:val="21"/>
              </w:rPr>
              <w:t xml:space="preserve">Defensive (Cutting Losses): 7-8% stop loss, 50-day MA breakdown on volume, 10-week line violation, market correction.</w:t>
            </w:r>
          </w:p>
          <w:p>
            <w:pPr>
              <w:spacing w:after="100" w:line="276"/>
            </w:pPr>
            <w:r>
              <w:rPr>
                <w:rFonts w:ascii="Arial" w:cs="Arial" w:eastAsia="Arial" w:hAnsi="Arial"/>
                <w:color w:val="333333"/>
                <w:sz w:val="21"/>
                <w:szCs w:val="21"/>
              </w:rPr>
              <w:t xml:space="preserve">The system generates alerts for all of these conditions. Your responsibility is to act on them promptly. Delayed defensive action, holding through a stop violation hoping for recovery, is the single most destructive habit a growth investor can develop.</w:t>
            </w:r>
          </w:p>
        </w:tc>
      </w:tr>
    </w:tbl>
    <w:p>
      <w:r>
        <w:br w:type="page"/>
      </w:r>
    </w:p>
    <w:p>
      <w:pPr>
        <w:pStyle w:val="Heading1"/>
        <w:spacing w:before="360" w:after="200"/>
      </w:pPr>
      <w:r>
        <w:rPr>
          <w:rFonts w:ascii="Arial" w:cs="Arial" w:eastAsia="Arial" w:hAnsi="Arial"/>
          <w:color w:val="2E74B5"/>
          <w:sz w:val="32"/>
          <w:szCs w:val="32"/>
        </w:rPr>
        <w:t xml:space="preserve">Chapter 18: The Eight-Week Hold Rule</w:t>
      </w:r>
    </w:p>
    <w:p>
      <w:pPr>
        <w:spacing w:after="200" w:line="276"/>
      </w:pPr>
      <w:r>
        <w:rPr>
          <w:rFonts w:ascii="Arial" w:cs="Arial" w:eastAsia="Arial" w:hAnsi="Arial"/>
          <w:color w:val="333333"/>
          <w:sz w:val="22"/>
          <w:szCs w:val="22"/>
        </w:rPr>
        <w:t xml:space="preserve">The eight-week hold rule is the most important exception to the standard profit-taking framework. It exists because O’Neil discovered that by consistently selling at 20-25% profits, he was repeatedly exiting stocks that subsequently tripled, quadrupled, or more. The rule creates a mechanism for identifying and holding potential big winners, the rare stocks that drive lifetime investing success.</w:t>
      </w:r>
    </w:p>
    <w:p>
      <w:pPr>
        <w:pStyle w:val="Heading2"/>
        <w:spacing w:before="300" w:after="180"/>
      </w:pPr>
      <w:r>
        <w:rPr>
          <w:rFonts w:ascii="Arial" w:cs="Arial" w:eastAsia="Arial" w:hAnsi="Arial"/>
          <w:color w:val="2E74B5"/>
          <w:sz w:val="26"/>
          <w:szCs w:val="26"/>
        </w:rPr>
        <w:t xml:space="preserve">18.1 When the Rule Activates</w:t>
      </w:r>
    </w:p>
    <w:p>
      <w:pPr>
        <w:spacing w:after="200" w:line="276"/>
      </w:pPr>
      <w:r>
        <w:rPr>
          <w:rFonts w:ascii="Arial" w:cs="Arial" w:eastAsia="Arial" w:hAnsi="Arial"/>
          <w:color w:val="333333"/>
          <w:sz w:val="22"/>
          <w:szCs w:val="22"/>
        </w:rPr>
        <w:t xml:space="preserve">The rule activates when a stock advances 20% or more from its pivot point within three weeks or less from the breakout date. This rapid advance signals exceptional institutional demand. A stock that gains 20% in three weeks is behaving differently from one that grinds up 20% over three months. The speed of the advance is the distinguishing factor.</w:t>
      </w:r>
    </w:p>
    <w:p>
      <w:pPr>
        <w:spacing w:after="200" w:line="276"/>
      </w:pPr>
      <w:r>
        <w:rPr>
          <w:rFonts w:ascii="Arial" w:cs="Arial" w:eastAsia="Arial" w:hAnsi="Arial"/>
          <w:color w:val="333333"/>
          <w:sz w:val="22"/>
          <w:szCs w:val="22"/>
        </w:rPr>
        <w:t xml:space="preserve">When this condition is detected, the position thread generates an 8-Week Hold alert. The alert shows the gain percentage, the number of weeks since breakout, and the hold expiration date (eight weeks from the breakout date). Critically, the alert also notes that TP1 alerts will be suppressed during the hold period. This suppression prevents the system from recommending profit-taking on a stock that the methodology has identified as a potential big winner.</w:t>
      </w:r>
    </w:p>
    <w:p>
      <w:pPr>
        <w:pStyle w:val="Heading2"/>
        <w:spacing w:before="300" w:after="180"/>
      </w:pPr>
      <w:r>
        <w:rPr>
          <w:rFonts w:ascii="Arial" w:cs="Arial" w:eastAsia="Arial" w:hAnsi="Arial"/>
          <w:color w:val="2E74B5"/>
          <w:sz w:val="26"/>
          <w:szCs w:val="26"/>
        </w:rPr>
        <w:t xml:space="preserve">18.2 How to Implement the Hold</w:t>
      </w:r>
    </w:p>
    <w:p>
      <w:pPr>
        <w:spacing w:after="200" w:line="276"/>
      </w:pPr>
      <w:r>
        <w:rPr>
          <w:rFonts w:ascii="Arial" w:cs="Arial" w:eastAsia="Arial" w:hAnsi="Arial"/>
          <w:color w:val="333333"/>
          <w:sz w:val="22"/>
          <w:szCs w:val="22"/>
        </w:rPr>
        <w:t xml:space="preserve">Count eight weeks from the breakout date, not from the date the 20% threshold was crossed. For example, if a stock broke out on January 6 and hit +20% on January 15, the eight-week hold period runs from January 6 through March 3. You evaluate the position for potential selling starting in the week of March 3.</w:t>
      </w:r>
    </w:p>
    <w:p>
      <w:pPr>
        <w:spacing w:after="200" w:line="276"/>
      </w:pPr>
      <w:r>
        <w:rPr>
          <w:rFonts w:ascii="Arial" w:cs="Arial" w:eastAsia="Arial" w:hAnsi="Arial"/>
          <w:color w:val="333333"/>
          <w:sz w:val="22"/>
          <w:szCs w:val="22"/>
        </w:rPr>
        <w:t xml:space="preserve">During the eight-week period, expect volatility. The stock may pull back to its 10-week or 50-day moving average. It may spend several weeks drifting sideways. These are normal consolidation behaviors in a stock with strong institutional demand, and they do not invalidate the hold. Your hard stop remains in place at all times: if the stock declines to your stop level, sell regardless of the hold. The rule is about letting profits run, not about accepting losses.</w:t>
      </w:r>
    </w:p>
    <w:p>
      <w:pPr>
        <w:spacing w:after="200" w:line="276"/>
      </w:pPr>
      <w:r>
        <w:rPr>
          <w:rFonts w:ascii="Arial" w:cs="Arial" w:eastAsia="Arial" w:hAnsi="Arial"/>
          <w:color w:val="333333"/>
          <w:sz w:val="22"/>
          <w:szCs w:val="22"/>
        </w:rPr>
        <w:t xml:space="preserve">There is one critical exception beyond the stop: if the stock declines back to your purchase price, sell. The eight-week hold assumes you are holding a profit. If the profit evaporates entirely and the stock returns to breakeven, the thesis has failed and there is no reason to continue holding.</w:t>
      </w:r>
    </w:p>
    <w:p>
      <w:pPr>
        <w:pStyle w:val="Heading2"/>
        <w:spacing w:before="300" w:after="180"/>
      </w:pPr>
      <w:r>
        <w:rPr>
          <w:rFonts w:ascii="Arial" w:cs="Arial" w:eastAsia="Arial" w:hAnsi="Arial"/>
          <w:color w:val="2E74B5"/>
          <w:sz w:val="26"/>
          <w:szCs w:val="26"/>
        </w:rPr>
        <w:t xml:space="preserve">18.3 After the Eight Weeks Expire</w:t>
      </w:r>
    </w:p>
    <w:p>
      <w:pPr>
        <w:spacing w:after="200" w:line="276"/>
      </w:pPr>
      <w:r>
        <w:rPr>
          <w:rFonts w:ascii="Arial" w:cs="Arial" w:eastAsia="Arial" w:hAnsi="Arial"/>
          <w:color w:val="333333"/>
          <w:sz w:val="22"/>
          <w:szCs w:val="22"/>
        </w:rPr>
        <w:t xml:space="preserve">When the eight-week hold period ends, re-evaluate the position using the weekly chart. Ask three questions. Is the stock still above its 10-week moving average? Has the RS Line maintained or improved? Are the fundamentals still strong (no earnings misses, no guidance cuts)? If all three answers are yes, continue holding and manage the position using the weekly chart and the 10-week line as your trend guide. If any answer is no, consider taking profits or tightening your stop.</w:t>
      </w:r>
    </w:p>
    <w:p>
      <w:pPr>
        <w:spacing w:after="200" w:line="276"/>
      </w:pPr>
      <w:r>
        <w:rPr>
          <w:rFonts w:ascii="Arial" w:cs="Arial" w:eastAsia="Arial" w:hAnsi="Arial"/>
          <w:color w:val="333333"/>
          <w:sz w:val="22"/>
          <w:szCs w:val="22"/>
        </w:rPr>
        <w:t xml:space="preserve">MarketSurge provides a visual indicator called the Power from Pivot flag: a green flag that appears on the chart when the eight-week rule criteria have been met. This flag appears in both the Growth 250 Power from Pivot target list and on the individual stock chart. Use it as a trigger to evaluate whether to apply the rule, not as an automatic hold signal. The rule should be reserved for fundamentally strong stocks in early-stage bases (Stage 1 or Stage 2). Applying it indiscriminately to every stock that happens to gain 20% in three weeks dilutes its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How the System Handles the 8-Week Hold</w:t>
            </w:r>
          </w:p>
          <w:p>
            <w:pPr>
              <w:spacing w:after="100" w:line="276"/>
            </w:pPr>
            <w:r>
              <w:rPr>
                <w:rFonts w:ascii="Arial" w:cs="Arial" w:eastAsia="Arial" w:hAnsi="Arial"/>
                <w:color w:val="333333"/>
                <w:sz w:val="21"/>
                <w:szCs w:val="21"/>
              </w:rPr>
              <w:t xml:space="preserve">When the position thread detects a power move (20%+ in ≤3 weeks), it sets the eight_week_hold_active flag on the position, records the hold start and end dates, and suppresses all TP1 alerts for the duration. The hard stop remains active throughout. When the hold period expires, the flag clears automatically and normal profit-taking alerts resume. The entire mechanism is designed to prevent you from selling a potential big winner at 20-25% when the evidence says it could go much further.</w:t>
            </w:r>
          </w:p>
        </w:tc>
      </w:tr>
    </w:tbl>
    <w:p>
      <w:r>
        <w:br w:type="page"/>
      </w:r>
    </w:p>
    <w:p>
      <w:pPr>
        <w:pStyle w:val="Heading1"/>
        <w:spacing w:before="360" w:after="200"/>
      </w:pPr>
      <w:r>
        <w:rPr>
          <w:rFonts w:ascii="Arial" w:cs="Arial" w:eastAsia="Arial" w:hAnsi="Arial"/>
          <w:color w:val="2E74B5"/>
          <w:sz w:val="32"/>
          <w:szCs w:val="32"/>
        </w:rPr>
        <w:t xml:space="preserve">Chapter 19: Closing Positions and Recording Outcomes</w:t>
      </w:r>
    </w:p>
    <w:p>
      <w:pPr>
        <w:spacing w:after="200" w:line="276"/>
      </w:pPr>
      <w:r>
        <w:rPr>
          <w:rFonts w:ascii="Arial" w:cs="Arial" w:eastAsia="Arial" w:hAnsi="Arial"/>
          <w:color w:val="333333"/>
          <w:sz w:val="22"/>
          <w:szCs w:val="22"/>
        </w:rPr>
        <w:t xml:space="preserve">Every trade ends, and how you close it matters not just for the immediate P&amp;L but for the system’s ability to learn and improve over time. The outcome tracking system captures the complete history of each position, from the entry grade to the final exit, creating the training data that powers the learning engine described in a later part.</w:t>
      </w:r>
    </w:p>
    <w:p>
      <w:pPr>
        <w:pStyle w:val="Heading2"/>
        <w:spacing w:before="300" w:after="180"/>
      </w:pPr>
      <w:r>
        <w:rPr>
          <w:rFonts w:ascii="Arial" w:cs="Arial" w:eastAsia="Arial" w:hAnsi="Arial"/>
          <w:color w:val="2E74B5"/>
          <w:sz w:val="26"/>
          <w:szCs w:val="26"/>
        </w:rPr>
        <w:t xml:space="preserve">19.1 Closing a Position in the GUI</w:t>
      </w:r>
    </w:p>
    <w:p>
      <w:pPr>
        <w:spacing w:after="200" w:line="276"/>
      </w:pPr>
      <w:r>
        <w:rPr>
          <w:rFonts w:ascii="Arial" w:cs="Arial" w:eastAsia="Arial" w:hAnsi="Arial"/>
          <w:color w:val="333333"/>
          <w:sz w:val="22"/>
          <w:szCs w:val="22"/>
        </w:rPr>
        <w:t xml:space="preserve">When you sell your final shares in a position, update the system by transitioning the position to its closed state. In the GUI, drag the position card to the appropriate Closed column, or right-click the card and select “Move to” to set it to Closed, Winner or Closed, Stopped Out. Then double-click the card to enter the close price, close date, and close reason.</w:t>
      </w:r>
    </w:p>
    <w:p>
      <w:pPr>
        <w:spacing w:after="200" w:line="276"/>
      </w:pPr>
      <w:r>
        <w:rPr>
          <w:rFonts w:ascii="Arial" w:cs="Arial" w:eastAsia="Arial" w:hAnsi="Arial"/>
          <w:color w:val="333333"/>
          <w:sz w:val="22"/>
          <w:szCs w:val="22"/>
        </w:rPr>
        <w:t xml:space="preserve">The close reason field captures why the position was closed. Standard reasons include: Stop Hit, TP1 Hit, TP2 Hit, Manual Exit, 50-Day MA Breakdown, 10-Week Line Violation, Climax Top, Earnings Exit, and Market Correction. This categorization is essential for the learning engine, which analyzes exit patterns to identify whether specific close reasons correlate with grade quality, market conditions, or other factors.</w:t>
      </w:r>
    </w:p>
    <w:p>
      <w:pPr>
        <w:pStyle w:val="Heading2"/>
        <w:spacing w:before="300" w:after="180"/>
      </w:pPr>
      <w:r>
        <w:rPr>
          <w:rFonts w:ascii="Arial" w:cs="Arial" w:eastAsia="Arial" w:hAnsi="Arial"/>
          <w:color w:val="2E74B5"/>
          <w:sz w:val="26"/>
          <w:szCs w:val="26"/>
        </w:rPr>
        <w:t xml:space="preserve">19.2 The Outcome Record</w:t>
      </w:r>
    </w:p>
    <w:p>
      <w:pPr>
        <w:spacing w:after="200" w:line="276"/>
      </w:pPr>
      <w:r>
        <w:rPr>
          <w:rFonts w:ascii="Arial" w:cs="Arial" w:eastAsia="Arial" w:hAnsi="Arial"/>
          <w:color w:val="333333"/>
          <w:sz w:val="22"/>
          <w:szCs w:val="22"/>
        </w:rPr>
        <w:t xml:space="preserve">When a position transitions to a closed state, the system automatically creates an outcome record in the outcomes table. This record captures the entry grade and score, the entry price and date, the exit price and date, the gross P&amp;L in both dollars and percentage, the hold duration in trading days, the market regime at both entry and exit, and the close reason. These fields form the input features for the learning engine’s factor analysis.</w:t>
      </w:r>
    </w:p>
    <w:p>
      <w:pPr>
        <w:spacing w:after="200" w:line="276"/>
      </w:pPr>
      <w:r>
        <w:rPr>
          <w:rFonts w:ascii="Arial" w:cs="Arial" w:eastAsia="Arial" w:hAnsi="Arial"/>
          <w:color w:val="333333"/>
          <w:sz w:val="22"/>
          <w:szCs w:val="22"/>
        </w:rPr>
        <w:t xml:space="preserve">The outcome record also includes a field for TradesViz validation. If you use TradesViz to track your brokerage trades, you can import TradesViz CSV exports through the GUI. The system matches imported trades to their corresponding outcome records and flags any discrepancies between the system’s recorded P&amp;L and the brokerage’s actual P&amp;L. This validation ensures data accuracy before the learning engine uses the outcomes for weight optimization.</w:t>
      </w:r>
    </w:p>
    <w:p>
      <w:pPr>
        <w:pStyle w:val="Heading2"/>
        <w:spacing w:before="300" w:after="180"/>
      </w:pPr>
      <w:r>
        <w:rPr>
          <w:rFonts w:ascii="Arial" w:cs="Arial" w:eastAsia="Arial" w:hAnsi="Arial"/>
          <w:color w:val="2E74B5"/>
          <w:sz w:val="26"/>
          <w:szCs w:val="26"/>
        </w:rPr>
        <w:t xml:space="preserve">19.3 Why Outcomes Matter</w:t>
      </w:r>
    </w:p>
    <w:p>
      <w:pPr>
        <w:spacing w:after="200" w:line="276"/>
      </w:pPr>
      <w:r>
        <w:rPr>
          <w:rFonts w:ascii="Arial" w:cs="Arial" w:eastAsia="Arial" w:hAnsi="Arial"/>
          <w:color w:val="333333"/>
          <w:sz w:val="22"/>
          <w:szCs w:val="22"/>
        </w:rPr>
        <w:t xml:space="preserve">The outcome table is the foundation of the learning engine. Without accurate, comprehensive outcome data, the system cannot determine which scoring factors predict success and which do not. Every closed position, winner or loser, contributes to the statistical picture that will eventually allow the system to optimize its scoring weights.</w:t>
      </w:r>
    </w:p>
    <w:p>
      <w:pPr>
        <w:spacing w:after="200" w:line="276"/>
      </w:pPr>
      <w:r>
        <w:rPr>
          <w:rFonts w:ascii="Arial" w:cs="Arial" w:eastAsia="Arial" w:hAnsi="Arial"/>
          <w:color w:val="333333"/>
          <w:sz w:val="22"/>
          <w:szCs w:val="22"/>
        </w:rPr>
        <w:t xml:space="preserve">The learning engine requires a minimum of 50 outcomes (100 or more preferred) with a balanced distribution of successes and failures before it can produce statistically meaningful optimization results. Until this threshold is reached, the system operates on the default scoring weights derived from O’Neil’s research and initial validation testing. Every trade you record brings the system closer to its first optimization cycle.</w:t>
      </w:r>
    </w:p>
    <w:p>
      <w:pPr>
        <w:pStyle w:val="Heading2"/>
        <w:spacing w:before="300" w:after="180"/>
      </w:pPr>
      <w:r>
        <w:rPr>
          <w:rFonts w:ascii="Arial" w:cs="Arial" w:eastAsia="Arial" w:hAnsi="Arial"/>
          <w:color w:val="2E74B5"/>
          <w:sz w:val="26"/>
          <w:szCs w:val="26"/>
        </w:rPr>
        <w:t xml:space="preserve">19.4 The Position State Machine</w:t>
      </w:r>
    </w:p>
    <w:p>
      <w:pPr>
        <w:spacing w:after="200" w:line="276"/>
      </w:pPr>
      <w:r>
        <w:rPr>
          <w:rFonts w:ascii="Arial" w:cs="Arial" w:eastAsia="Arial" w:hAnsi="Arial"/>
          <w:color w:val="333333"/>
          <w:sz w:val="22"/>
          <w:szCs w:val="22"/>
        </w:rPr>
        <w:t xml:space="preserve">Every position in the system exists in exactly one state at any given time. The state determines which monitoring thread watches the position, which alerts can fire, and what actions are available in the GUI. Understanding the state machine is essential for using the system effectively.</w:t>
      </w:r>
    </w:p>
    <w:p>
      <w:pPr>
        <w:pStyle w:val="Heading3"/>
        <w:spacing w:before="240" w:after="160"/>
      </w:pPr>
      <w:r>
        <w:rPr>
          <w:rFonts w:ascii="Arial" w:cs="Arial" w:eastAsia="Arial" w:hAnsi="Arial"/>
          <w:color w:val="1F4D78"/>
          <w:sz w:val="24"/>
          <w:szCs w:val="24"/>
        </w:rPr>
        <w:t xml:space="preserve">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100"/>
        <w:gridCol w:w="3260"/>
        <w:gridCol w:w="2800"/>
      </w:tblGrid>
      <w:tr>
        <w:tc>
          <w:tcPr>
            <w:tcW w:type="dxa" w:w="700"/>
            <w:shd w:val="clear" w:fill="D5E8F0"/>
          </w:tcPr>
          <w:p>
            <w:pPr>
              <w:spacing w:after="60"/>
            </w:pPr>
            <w:r>
              <w:rPr>
                <w:rFonts w:ascii="Arial" w:cs="Arial" w:eastAsia="Arial" w:hAnsi="Arial"/>
                <w:b/>
                <w:sz w:val="20"/>
                <w:szCs w:val="20"/>
              </w:rPr>
              <w:t xml:space="preserve">State</w:t>
            </w:r>
          </w:p>
        </w:tc>
        <w:tc>
          <w:tcPr>
            <w:tcW w:type="dxa" w:w="1500"/>
            <w:shd w:val="clear" w:fill="D5E8F0"/>
          </w:tcPr>
          <w:p>
            <w:pPr>
              <w:spacing w:after="60"/>
            </w:pPr>
            <w:r>
              <w:rPr>
                <w:rFonts w:ascii="Arial" w:cs="Arial" w:eastAsia="Arial" w:hAnsi="Arial"/>
                <w:b/>
                <w:sz w:val="20"/>
                <w:szCs w:val="20"/>
              </w:rPr>
              <w:t xml:space="preserve">Name</w:t>
            </w:r>
          </w:p>
        </w:tc>
        <w:tc>
          <w:tcPr>
            <w:tcW w:type="dxa" w:w="1100"/>
            <w:shd w:val="clear" w:fill="D5E8F0"/>
          </w:tcPr>
          <w:p>
            <w:pPr>
              <w:spacing w:after="60"/>
            </w:pPr>
            <w:r>
              <w:rPr>
                <w:rFonts w:ascii="Arial" w:cs="Arial" w:eastAsia="Arial" w:hAnsi="Arial"/>
                <w:b/>
                <w:sz w:val="20"/>
                <w:szCs w:val="20"/>
              </w:rPr>
              <w:t xml:space="preserve">Color</w:t>
            </w:r>
          </w:p>
        </w:tc>
        <w:tc>
          <w:tcPr>
            <w:tcW w:type="dxa" w:w="3260"/>
            <w:shd w:val="clear" w:fill="D5E8F0"/>
          </w:tcPr>
          <w:p>
            <w:pPr>
              <w:spacing w:after="60"/>
            </w:pPr>
            <w:r>
              <w:rPr>
                <w:rFonts w:ascii="Arial" w:cs="Arial" w:eastAsia="Arial" w:hAnsi="Arial"/>
                <w:b/>
                <w:sz w:val="20"/>
                <w:szCs w:val="20"/>
              </w:rPr>
              <w:t xml:space="preserve">Description</w:t>
            </w:r>
          </w:p>
        </w:tc>
        <w:tc>
          <w:tcPr>
            <w:tcW w:type="dxa" w:w="2800"/>
            <w:shd w:val="clear" w:fill="D5E8F0"/>
          </w:tcPr>
          <w:p>
            <w:pPr>
              <w:spacing w:after="60"/>
            </w:pPr>
            <w:r>
              <w:rPr>
                <w:rFonts w:ascii="Arial" w:cs="Arial" w:eastAsia="Arial" w:hAnsi="Arial"/>
                <w:b/>
                <w:sz w:val="20"/>
                <w:szCs w:val="20"/>
              </w:rPr>
              <w:t xml:space="preserve">Monitored By</w:t>
            </w:r>
          </w:p>
        </w:tc>
      </w:tr>
      <w:tr>
        <w:tc>
          <w:tcPr>
            <w:tcW w:type="dxa" w:w="700"/>
          </w:tcPr>
          <w:p>
            <w:pPr>
              <w:spacing w:after="60"/>
            </w:pPr>
            <w:r>
              <w:rPr>
                <w:rFonts w:ascii="Arial" w:cs="Arial" w:eastAsia="Arial" w:hAnsi="Arial"/>
                <w:sz w:val="20"/>
                <w:szCs w:val="20"/>
              </w:rPr>
              <w:t xml:space="preserve">0</w:t>
            </w:r>
          </w:p>
        </w:tc>
        <w:tc>
          <w:tcPr>
            <w:tcW w:type="dxa" w:w="1500"/>
          </w:tcPr>
          <w:p>
            <w:pPr>
              <w:spacing w:after="60"/>
            </w:pPr>
            <w:r>
              <w:rPr>
                <w:rFonts w:ascii="Arial" w:cs="Arial" w:eastAsia="Arial" w:hAnsi="Arial"/>
                <w:sz w:val="20"/>
                <w:szCs w:val="20"/>
              </w:rPr>
              <w:t xml:space="preserve">Watching</w:t>
            </w:r>
          </w:p>
        </w:tc>
        <w:tc>
          <w:tcPr>
            <w:tcW w:type="dxa" w:w="1100"/>
          </w:tcPr>
          <w:p>
            <w:pPr>
              <w:spacing w:after="60"/>
            </w:pPr>
            <w:r>
              <w:rPr>
                <w:rFonts w:ascii="Arial" w:cs="Arial" w:eastAsia="Arial" w:hAnsi="Arial"/>
                <w:sz w:val="20"/>
                <w:szCs w:val="20"/>
              </w:rPr>
              <w:t xml:space="preserve">Cyan</w:t>
            </w:r>
          </w:p>
        </w:tc>
        <w:tc>
          <w:tcPr>
            <w:tcW w:type="dxa" w:w="3260"/>
          </w:tcPr>
          <w:p>
            <w:pPr>
              <w:spacing w:after="60"/>
            </w:pPr>
            <w:r>
              <w:rPr>
                <w:rFonts w:ascii="Arial" w:cs="Arial" w:eastAsia="Arial" w:hAnsi="Arial"/>
                <w:sz w:val="20"/>
                <w:szCs w:val="20"/>
              </w:rPr>
              <w:t xml:space="preserve">On watchlist, awaiting breakout</w:t>
            </w:r>
          </w:p>
        </w:tc>
        <w:tc>
          <w:tcPr>
            <w:tcW w:type="dxa" w:w="2800"/>
          </w:tcPr>
          <w:p>
            <w:pPr>
              <w:spacing w:after="60"/>
            </w:pPr>
            <w:r>
              <w:rPr>
                <w:rFonts w:ascii="Arial" w:cs="Arial" w:eastAsia="Arial" w:hAnsi="Arial"/>
                <w:sz w:val="20"/>
                <w:szCs w:val="20"/>
              </w:rPr>
              <w:t xml:space="preserve">Breakout Thread (60s)</w:t>
            </w:r>
          </w:p>
        </w:tc>
      </w:tr>
      <w:tr>
        <w:tc>
          <w:tcPr>
            <w:tcW w:type="dxa" w:w="700"/>
          </w:tcPr>
          <w:p>
            <w:pPr>
              <w:spacing w:after="60"/>
            </w:pPr>
            <w:r>
              <w:rPr>
                <w:rFonts w:ascii="Arial" w:cs="Arial" w:eastAsia="Arial" w:hAnsi="Arial"/>
                <w:sz w:val="20"/>
                <w:szCs w:val="20"/>
              </w:rPr>
              <w:t xml:space="preserve">1</w:t>
            </w:r>
          </w:p>
        </w:tc>
        <w:tc>
          <w:tcPr>
            <w:tcW w:type="dxa" w:w="1500"/>
          </w:tcPr>
          <w:p>
            <w:pPr>
              <w:spacing w:after="60"/>
            </w:pPr>
            <w:r>
              <w:rPr>
                <w:rFonts w:ascii="Arial" w:cs="Arial" w:eastAsia="Arial" w:hAnsi="Arial"/>
                <w:sz w:val="20"/>
                <w:szCs w:val="20"/>
              </w:rPr>
              <w:t xml:space="preserve">Entry 1</w:t>
            </w:r>
          </w:p>
        </w:tc>
        <w:tc>
          <w:tcPr>
            <w:tcW w:type="dxa" w:w="1100"/>
          </w:tcPr>
          <w:p>
            <w:pPr>
              <w:spacing w:after="60"/>
            </w:pPr>
            <w:r>
              <w:rPr>
                <w:rFonts w:ascii="Arial" w:cs="Arial" w:eastAsia="Arial" w:hAnsi="Arial"/>
                <w:sz w:val="20"/>
                <w:szCs w:val="20"/>
              </w:rPr>
              <w:t xml:space="preserve">Green</w:t>
            </w:r>
          </w:p>
        </w:tc>
        <w:tc>
          <w:tcPr>
            <w:tcW w:type="dxa" w:w="3260"/>
          </w:tcPr>
          <w:p>
            <w:pPr>
              <w:spacing w:after="60"/>
            </w:pPr>
            <w:r>
              <w:rPr>
                <w:rFonts w:ascii="Arial" w:cs="Arial" w:eastAsia="Arial" w:hAnsi="Arial"/>
                <w:sz w:val="20"/>
                <w:szCs w:val="20"/>
              </w:rPr>
              <w:t xml:space="preserve">Initial 50% position taken</w:t>
            </w:r>
          </w:p>
        </w:tc>
        <w:tc>
          <w:tcPr>
            <w:tcW w:type="dxa" w:w="2800"/>
          </w:tcPr>
          <w:p>
            <w:pPr>
              <w:spacing w:after="60"/>
            </w:pPr>
            <w:r>
              <w:rPr>
                <w:rFonts w:ascii="Arial" w:cs="Arial" w:eastAsia="Arial" w:hAnsi="Arial"/>
                <w:sz w:val="20"/>
                <w:szCs w:val="20"/>
              </w:rPr>
              <w:t xml:space="preserve">Position Thread (30s)</w:t>
            </w:r>
          </w:p>
        </w:tc>
      </w:tr>
      <w:tr>
        <w:tc>
          <w:tcPr>
            <w:tcW w:type="dxa" w:w="700"/>
          </w:tcPr>
          <w:p>
            <w:pPr>
              <w:spacing w:after="60"/>
            </w:pPr>
            <w:r>
              <w:rPr>
                <w:rFonts w:ascii="Arial" w:cs="Arial" w:eastAsia="Arial" w:hAnsi="Arial"/>
                <w:sz w:val="20"/>
                <w:szCs w:val="20"/>
              </w:rPr>
              <w:t xml:space="preserve">2</w:t>
            </w:r>
          </w:p>
        </w:tc>
        <w:tc>
          <w:tcPr>
            <w:tcW w:type="dxa" w:w="1500"/>
          </w:tcPr>
          <w:p>
            <w:pPr>
              <w:spacing w:after="60"/>
            </w:pPr>
            <w:r>
              <w:rPr>
                <w:rFonts w:ascii="Arial" w:cs="Arial" w:eastAsia="Arial" w:hAnsi="Arial"/>
                <w:sz w:val="20"/>
                <w:szCs w:val="20"/>
              </w:rPr>
              <w:t xml:space="preserve">Entry 2</w:t>
            </w:r>
          </w:p>
        </w:tc>
        <w:tc>
          <w:tcPr>
            <w:tcW w:type="dxa" w:w="1100"/>
          </w:tcPr>
          <w:p>
            <w:pPr>
              <w:spacing w:after="60"/>
            </w:pPr>
            <w:r>
              <w:rPr>
                <w:rFonts w:ascii="Arial" w:cs="Arial" w:eastAsia="Arial" w:hAnsi="Arial"/>
                <w:sz w:val="20"/>
                <w:szCs w:val="20"/>
              </w:rPr>
              <w:t xml:space="preserve">Teal</w:t>
            </w:r>
          </w:p>
        </w:tc>
        <w:tc>
          <w:tcPr>
            <w:tcW w:type="dxa" w:w="3260"/>
          </w:tcPr>
          <w:p>
            <w:pPr>
              <w:spacing w:after="60"/>
            </w:pPr>
            <w:r>
              <w:rPr>
                <w:rFonts w:ascii="Arial" w:cs="Arial" w:eastAsia="Arial" w:hAnsi="Arial"/>
                <w:sz w:val="20"/>
                <w:szCs w:val="20"/>
              </w:rPr>
              <w:t xml:space="preserve">First pyramid (+25%) added</w:t>
            </w:r>
          </w:p>
        </w:tc>
        <w:tc>
          <w:tcPr>
            <w:tcW w:type="dxa" w:w="2800"/>
          </w:tcPr>
          <w:p>
            <w:pPr>
              <w:spacing w:after="60"/>
            </w:pPr>
            <w:r>
              <w:rPr>
                <w:rFonts w:ascii="Arial" w:cs="Arial" w:eastAsia="Arial" w:hAnsi="Arial"/>
                <w:sz w:val="20"/>
                <w:szCs w:val="20"/>
              </w:rPr>
              <w:t xml:space="preserve">Position Thread (30s)</w:t>
            </w:r>
          </w:p>
        </w:tc>
      </w:tr>
      <w:tr>
        <w:tc>
          <w:tcPr>
            <w:tcW w:type="dxa" w:w="700"/>
          </w:tcPr>
          <w:p>
            <w:pPr>
              <w:spacing w:after="60"/>
            </w:pPr>
            <w:r>
              <w:rPr>
                <w:rFonts w:ascii="Arial" w:cs="Arial" w:eastAsia="Arial" w:hAnsi="Arial"/>
                <w:sz w:val="20"/>
                <w:szCs w:val="20"/>
              </w:rPr>
              <w:t xml:space="preserve">3</w:t>
            </w:r>
          </w:p>
        </w:tc>
        <w:tc>
          <w:tcPr>
            <w:tcW w:type="dxa" w:w="1500"/>
          </w:tcPr>
          <w:p>
            <w:pPr>
              <w:spacing w:after="60"/>
            </w:pPr>
            <w:r>
              <w:rPr>
                <w:rFonts w:ascii="Arial" w:cs="Arial" w:eastAsia="Arial" w:hAnsi="Arial"/>
                <w:sz w:val="20"/>
                <w:szCs w:val="20"/>
              </w:rPr>
              <w:t xml:space="preserve">Full Position</w:t>
            </w:r>
          </w:p>
        </w:tc>
        <w:tc>
          <w:tcPr>
            <w:tcW w:type="dxa" w:w="1100"/>
          </w:tcPr>
          <w:p>
            <w:pPr>
              <w:spacing w:after="60"/>
            </w:pPr>
            <w:r>
              <w:rPr>
                <w:rFonts w:ascii="Arial" w:cs="Arial" w:eastAsia="Arial" w:hAnsi="Arial"/>
                <w:sz w:val="20"/>
                <w:szCs w:val="20"/>
              </w:rPr>
              <w:t xml:space="preserve">Dark Green</w:t>
            </w:r>
          </w:p>
        </w:tc>
        <w:tc>
          <w:tcPr>
            <w:tcW w:type="dxa" w:w="3260"/>
          </w:tcPr>
          <w:p>
            <w:pPr>
              <w:spacing w:after="60"/>
            </w:pPr>
            <w:r>
              <w:rPr>
                <w:rFonts w:ascii="Arial" w:cs="Arial" w:eastAsia="Arial" w:hAnsi="Arial"/>
                <w:sz w:val="20"/>
                <w:szCs w:val="20"/>
              </w:rPr>
              <w:t xml:space="preserve">Second pyramid (+25%) complete</w:t>
            </w:r>
          </w:p>
        </w:tc>
        <w:tc>
          <w:tcPr>
            <w:tcW w:type="dxa" w:w="2800"/>
          </w:tcPr>
          <w:p>
            <w:pPr>
              <w:spacing w:after="60"/>
            </w:pPr>
            <w:r>
              <w:rPr>
                <w:rFonts w:ascii="Arial" w:cs="Arial" w:eastAsia="Arial" w:hAnsi="Arial"/>
                <w:sz w:val="20"/>
                <w:szCs w:val="20"/>
              </w:rPr>
              <w:t xml:space="preserve">Position Thread (30s)</w:t>
            </w:r>
          </w:p>
        </w:tc>
      </w:tr>
      <w:tr>
        <w:tc>
          <w:tcPr>
            <w:tcW w:type="dxa" w:w="700"/>
          </w:tcPr>
          <w:p>
            <w:pPr>
              <w:spacing w:after="60"/>
            </w:pPr>
            <w:r>
              <w:rPr>
                <w:rFonts w:ascii="Arial" w:cs="Arial" w:eastAsia="Arial" w:hAnsi="Arial"/>
                <w:sz w:val="20"/>
                <w:szCs w:val="20"/>
              </w:rPr>
              <w:t xml:space="preserve">4</w:t>
            </w:r>
          </w:p>
        </w:tc>
        <w:tc>
          <w:tcPr>
            <w:tcW w:type="dxa" w:w="1500"/>
          </w:tcPr>
          <w:p>
            <w:pPr>
              <w:spacing w:after="60"/>
            </w:pPr>
            <w:r>
              <w:rPr>
                <w:rFonts w:ascii="Arial" w:cs="Arial" w:eastAsia="Arial" w:hAnsi="Arial"/>
                <w:sz w:val="20"/>
                <w:szCs w:val="20"/>
              </w:rPr>
              <w:t xml:space="preserve">TP1 Hit</w:t>
            </w:r>
          </w:p>
        </w:tc>
        <w:tc>
          <w:tcPr>
            <w:tcW w:type="dxa" w:w="1100"/>
          </w:tcPr>
          <w:p>
            <w:pPr>
              <w:spacing w:after="60"/>
            </w:pPr>
            <w:r>
              <w:rPr>
                <w:rFonts w:ascii="Arial" w:cs="Arial" w:eastAsia="Arial" w:hAnsi="Arial"/>
                <w:sz w:val="20"/>
                <w:szCs w:val="20"/>
              </w:rPr>
              <w:t xml:space="preserve">Yellow</w:t>
            </w:r>
          </w:p>
        </w:tc>
        <w:tc>
          <w:tcPr>
            <w:tcW w:type="dxa" w:w="3260"/>
          </w:tcPr>
          <w:p>
            <w:pPr>
              <w:spacing w:after="60"/>
            </w:pPr>
            <w:r>
              <w:rPr>
                <w:rFonts w:ascii="Arial" w:cs="Arial" w:eastAsia="Arial" w:hAnsi="Arial"/>
                <w:sz w:val="20"/>
                <w:szCs w:val="20"/>
              </w:rPr>
              <w:t xml:space="preserve">First profit target taken (~33% sold)</w:t>
            </w:r>
          </w:p>
        </w:tc>
        <w:tc>
          <w:tcPr>
            <w:tcW w:type="dxa" w:w="2800"/>
          </w:tcPr>
          <w:p>
            <w:pPr>
              <w:spacing w:after="60"/>
            </w:pPr>
            <w:r>
              <w:rPr>
                <w:rFonts w:ascii="Arial" w:cs="Arial" w:eastAsia="Arial" w:hAnsi="Arial"/>
                <w:sz w:val="20"/>
                <w:szCs w:val="20"/>
              </w:rPr>
              <w:t xml:space="preserve">Position Thread (30s)</w:t>
            </w:r>
          </w:p>
        </w:tc>
      </w:tr>
      <w:tr>
        <w:tc>
          <w:tcPr>
            <w:tcW w:type="dxa" w:w="700"/>
          </w:tcPr>
          <w:p>
            <w:pPr>
              <w:spacing w:after="60"/>
            </w:pPr>
            <w:r>
              <w:rPr>
                <w:rFonts w:ascii="Arial" w:cs="Arial" w:eastAsia="Arial" w:hAnsi="Arial"/>
                <w:sz w:val="20"/>
                <w:szCs w:val="20"/>
              </w:rPr>
              <w:t xml:space="preserve">5</w:t>
            </w:r>
          </w:p>
        </w:tc>
        <w:tc>
          <w:tcPr>
            <w:tcW w:type="dxa" w:w="1500"/>
          </w:tcPr>
          <w:p>
            <w:pPr>
              <w:spacing w:after="60"/>
            </w:pPr>
            <w:r>
              <w:rPr>
                <w:rFonts w:ascii="Arial" w:cs="Arial" w:eastAsia="Arial" w:hAnsi="Arial"/>
                <w:sz w:val="20"/>
                <w:szCs w:val="20"/>
              </w:rPr>
              <w:t xml:space="preserve">TP2 Hit</w:t>
            </w:r>
          </w:p>
        </w:tc>
        <w:tc>
          <w:tcPr>
            <w:tcW w:type="dxa" w:w="1100"/>
          </w:tcPr>
          <w:p>
            <w:pPr>
              <w:spacing w:after="60"/>
            </w:pPr>
            <w:r>
              <w:rPr>
                <w:rFonts w:ascii="Arial" w:cs="Arial" w:eastAsia="Arial" w:hAnsi="Arial"/>
                <w:sz w:val="20"/>
                <w:szCs w:val="20"/>
              </w:rPr>
              <w:t xml:space="preserve">Orange</w:t>
            </w:r>
          </w:p>
        </w:tc>
        <w:tc>
          <w:tcPr>
            <w:tcW w:type="dxa" w:w="3260"/>
          </w:tcPr>
          <w:p>
            <w:pPr>
              <w:spacing w:after="60"/>
            </w:pPr>
            <w:r>
              <w:rPr>
                <w:rFonts w:ascii="Arial" w:cs="Arial" w:eastAsia="Arial" w:hAnsi="Arial"/>
                <w:sz w:val="20"/>
                <w:szCs w:val="20"/>
              </w:rPr>
              <w:t xml:space="preserve">Second profit target taken (~50% sold)</w:t>
            </w:r>
          </w:p>
        </w:tc>
        <w:tc>
          <w:tcPr>
            <w:tcW w:type="dxa" w:w="2800"/>
          </w:tcPr>
          <w:p>
            <w:pPr>
              <w:spacing w:after="60"/>
            </w:pPr>
            <w:r>
              <w:rPr>
                <w:rFonts w:ascii="Arial" w:cs="Arial" w:eastAsia="Arial" w:hAnsi="Arial"/>
                <w:sz w:val="20"/>
                <w:szCs w:val="20"/>
              </w:rPr>
              <w:t xml:space="preserve">Position Thread (30s)</w:t>
            </w:r>
          </w:p>
        </w:tc>
      </w:tr>
      <w:tr>
        <w:tc>
          <w:tcPr>
            <w:tcW w:type="dxa" w:w="700"/>
          </w:tcPr>
          <w:p>
            <w:pPr>
              <w:spacing w:after="60"/>
            </w:pPr>
            <w:r>
              <w:rPr>
                <w:rFonts w:ascii="Arial" w:cs="Arial" w:eastAsia="Arial" w:hAnsi="Arial"/>
                <w:sz w:val="20"/>
                <w:szCs w:val="20"/>
              </w:rPr>
              <w:t xml:space="preserve">6</w:t>
            </w:r>
          </w:p>
        </w:tc>
        <w:tc>
          <w:tcPr>
            <w:tcW w:type="dxa" w:w="1500"/>
          </w:tcPr>
          <w:p>
            <w:pPr>
              <w:spacing w:after="60"/>
            </w:pPr>
            <w:r>
              <w:rPr>
                <w:rFonts w:ascii="Arial" w:cs="Arial" w:eastAsia="Arial" w:hAnsi="Arial"/>
                <w:sz w:val="20"/>
                <w:szCs w:val="20"/>
              </w:rPr>
              <w:t xml:space="preserve">Trailing</w:t>
            </w:r>
          </w:p>
        </w:tc>
        <w:tc>
          <w:tcPr>
            <w:tcW w:type="dxa" w:w="1100"/>
          </w:tcPr>
          <w:p>
            <w:pPr>
              <w:spacing w:after="60"/>
            </w:pPr>
            <w:r>
              <w:rPr>
                <w:rFonts w:ascii="Arial" w:cs="Arial" w:eastAsia="Arial" w:hAnsi="Arial"/>
                <w:sz w:val="20"/>
                <w:szCs w:val="20"/>
              </w:rPr>
              <w:t xml:space="preserve">Purple</w:t>
            </w:r>
          </w:p>
        </w:tc>
        <w:tc>
          <w:tcPr>
            <w:tcW w:type="dxa" w:w="3260"/>
          </w:tcPr>
          <w:p>
            <w:pPr>
              <w:spacing w:after="60"/>
            </w:pPr>
            <w:r>
              <w:rPr>
                <w:rFonts w:ascii="Arial" w:cs="Arial" w:eastAsia="Arial" w:hAnsi="Arial"/>
                <w:sz w:val="20"/>
                <w:szCs w:val="20"/>
              </w:rPr>
              <w:t xml:space="preserve">Trailing stop active on remainder</w:t>
            </w:r>
          </w:p>
        </w:tc>
        <w:tc>
          <w:tcPr>
            <w:tcW w:type="dxa" w:w="2800"/>
          </w:tcPr>
          <w:p>
            <w:pPr>
              <w:spacing w:after="60"/>
            </w:pPr>
            <w:r>
              <w:rPr>
                <w:rFonts w:ascii="Arial" w:cs="Arial" w:eastAsia="Arial" w:hAnsi="Arial"/>
                <w:sz w:val="20"/>
                <w:szCs w:val="20"/>
              </w:rPr>
              <w:t xml:space="preserve">Position Thread (30s)</w:t>
            </w:r>
          </w:p>
        </w:tc>
      </w:tr>
      <w:tr>
        <w:tc>
          <w:tcPr>
            <w:tcW w:type="dxa" w:w="700"/>
          </w:tcPr>
          <w:p>
            <w:pPr>
              <w:spacing w:after="60"/>
            </w:pPr>
            <w:r>
              <w:rPr>
                <w:rFonts w:ascii="Arial" w:cs="Arial" w:eastAsia="Arial" w:hAnsi="Arial"/>
                <w:sz w:val="20"/>
                <w:szCs w:val="20"/>
              </w:rPr>
              <w:t xml:space="preserve">-1.5</w:t>
            </w:r>
          </w:p>
        </w:tc>
        <w:tc>
          <w:tcPr>
            <w:tcW w:type="dxa" w:w="1500"/>
          </w:tcPr>
          <w:p>
            <w:pPr>
              <w:spacing w:after="60"/>
            </w:pPr>
            <w:r>
              <w:rPr>
                <w:rFonts w:ascii="Arial" w:cs="Arial" w:eastAsia="Arial" w:hAnsi="Arial"/>
                <w:sz w:val="20"/>
                <w:szCs w:val="20"/>
              </w:rPr>
              <w:t xml:space="preserve">Exited Watch</w:t>
            </w:r>
          </w:p>
        </w:tc>
        <w:tc>
          <w:tcPr>
            <w:tcW w:type="dxa" w:w="1100"/>
          </w:tcPr>
          <w:p>
            <w:pPr>
              <w:spacing w:after="60"/>
            </w:pPr>
            <w:r>
              <w:rPr>
                <w:rFonts w:ascii="Arial" w:cs="Arial" w:eastAsia="Arial" w:hAnsi="Arial"/>
                <w:sz w:val="20"/>
                <w:szCs w:val="20"/>
              </w:rPr>
              <w:t xml:space="preserve">Purple</w:t>
            </w:r>
          </w:p>
        </w:tc>
        <w:tc>
          <w:tcPr>
            <w:tcW w:type="dxa" w:w="3260"/>
          </w:tcPr>
          <w:p>
            <w:pPr>
              <w:spacing w:after="60"/>
            </w:pPr>
            <w:r>
              <w:rPr>
                <w:rFonts w:ascii="Arial" w:cs="Arial" w:eastAsia="Arial" w:hAnsi="Arial"/>
                <w:sz w:val="20"/>
                <w:szCs w:val="20"/>
              </w:rPr>
              <w:t xml:space="preserve">Previously owned, monitoring for re-entry</w:t>
            </w:r>
          </w:p>
        </w:tc>
        <w:tc>
          <w:tcPr>
            <w:tcW w:type="dxa" w:w="2800"/>
          </w:tcPr>
          <w:p>
            <w:pPr>
              <w:spacing w:after="60"/>
            </w:pPr>
            <w:r>
              <w:rPr>
                <w:rFonts w:ascii="Arial" w:cs="Arial" w:eastAsia="Arial" w:hAnsi="Arial"/>
                <w:sz w:val="20"/>
                <w:szCs w:val="20"/>
              </w:rPr>
              <w:t xml:space="preserve">Position Thread (30s)</w:t>
            </w:r>
          </w:p>
        </w:tc>
      </w:tr>
      <w:tr>
        <w:tc>
          <w:tcPr>
            <w:tcW w:type="dxa" w:w="700"/>
          </w:tcPr>
          <w:p>
            <w:pPr>
              <w:spacing w:after="60"/>
            </w:pPr>
            <w:r>
              <w:rPr>
                <w:rFonts w:ascii="Arial" w:cs="Arial" w:eastAsia="Arial" w:hAnsi="Arial"/>
                <w:sz w:val="20"/>
                <w:szCs w:val="20"/>
              </w:rPr>
              <w:t xml:space="preserve">-1</w:t>
            </w:r>
          </w:p>
        </w:tc>
        <w:tc>
          <w:tcPr>
            <w:tcW w:type="dxa" w:w="1500"/>
          </w:tcPr>
          <w:p>
            <w:pPr>
              <w:spacing w:after="60"/>
            </w:pPr>
            <w:r>
              <w:rPr>
                <w:rFonts w:ascii="Arial" w:cs="Arial" w:eastAsia="Arial" w:hAnsi="Arial"/>
                <w:sz w:val="20"/>
                <w:szCs w:val="20"/>
              </w:rPr>
              <w:t xml:space="preserve">Closed</w:t>
            </w:r>
          </w:p>
        </w:tc>
        <w:tc>
          <w:tcPr>
            <w:tcW w:type="dxa" w:w="1100"/>
          </w:tcPr>
          <w:p>
            <w:pPr>
              <w:spacing w:after="60"/>
            </w:pPr>
            <w:r>
              <w:rPr>
                <w:rFonts w:ascii="Arial" w:cs="Arial" w:eastAsia="Arial" w:hAnsi="Arial"/>
                <w:sz w:val="20"/>
                <w:szCs w:val="20"/>
              </w:rPr>
              <w:t xml:space="preserve">Gray</w:t>
            </w:r>
          </w:p>
        </w:tc>
        <w:tc>
          <w:tcPr>
            <w:tcW w:type="dxa" w:w="3260"/>
          </w:tcPr>
          <w:p>
            <w:pPr>
              <w:spacing w:after="60"/>
            </w:pPr>
            <w:r>
              <w:rPr>
                <w:rFonts w:ascii="Arial" w:cs="Arial" w:eastAsia="Arial" w:hAnsi="Arial"/>
                <w:sz w:val="20"/>
                <w:szCs w:val="20"/>
              </w:rPr>
              <w:t xml:space="preserve">Position fully closed (winner)</w:t>
            </w:r>
          </w:p>
        </w:tc>
        <w:tc>
          <w:tcPr>
            <w:tcW w:type="dxa" w:w="2800"/>
          </w:tcPr>
          <w:p>
            <w:pPr>
              <w:spacing w:after="60"/>
            </w:pPr>
            <w:r>
              <w:rPr>
                <w:rFonts w:ascii="Arial" w:cs="Arial" w:eastAsia="Arial" w:hAnsi="Arial"/>
                <w:sz w:val="20"/>
                <w:szCs w:val="20"/>
              </w:rPr>
              <w:t xml:space="preserve">None (archived)</w:t>
            </w:r>
          </w:p>
        </w:tc>
      </w:tr>
      <w:tr>
        <w:tc>
          <w:tcPr>
            <w:tcW w:type="dxa" w:w="700"/>
          </w:tcPr>
          <w:p>
            <w:pPr>
              <w:spacing w:after="60"/>
            </w:pPr>
            <w:r>
              <w:rPr>
                <w:rFonts w:ascii="Arial" w:cs="Arial" w:eastAsia="Arial" w:hAnsi="Arial"/>
                <w:sz w:val="20"/>
                <w:szCs w:val="20"/>
              </w:rPr>
              <w:t xml:space="preserve">-2</w:t>
            </w:r>
          </w:p>
        </w:tc>
        <w:tc>
          <w:tcPr>
            <w:tcW w:type="dxa" w:w="1500"/>
          </w:tcPr>
          <w:p>
            <w:pPr>
              <w:spacing w:after="60"/>
            </w:pPr>
            <w:r>
              <w:rPr>
                <w:rFonts w:ascii="Arial" w:cs="Arial" w:eastAsia="Arial" w:hAnsi="Arial"/>
                <w:sz w:val="20"/>
                <w:szCs w:val="20"/>
              </w:rPr>
              <w:t xml:space="preserve">Stopped Out</w:t>
            </w:r>
          </w:p>
        </w:tc>
        <w:tc>
          <w:tcPr>
            <w:tcW w:type="dxa" w:w="1100"/>
          </w:tcPr>
          <w:p>
            <w:pPr>
              <w:spacing w:after="60"/>
            </w:pPr>
            <w:r>
              <w:rPr>
                <w:rFonts w:ascii="Arial" w:cs="Arial" w:eastAsia="Arial" w:hAnsi="Arial"/>
                <w:sz w:val="20"/>
                <w:szCs w:val="20"/>
              </w:rPr>
              <w:t xml:space="preserve">Red</w:t>
            </w:r>
          </w:p>
        </w:tc>
        <w:tc>
          <w:tcPr>
            <w:tcW w:type="dxa" w:w="3260"/>
          </w:tcPr>
          <w:p>
            <w:pPr>
              <w:spacing w:after="60"/>
            </w:pPr>
            <w:r>
              <w:rPr>
                <w:rFonts w:ascii="Arial" w:cs="Arial" w:eastAsia="Arial" w:hAnsi="Arial"/>
                <w:sz w:val="20"/>
                <w:szCs w:val="20"/>
              </w:rPr>
              <w:t xml:space="preserve">Position closed at stop loss</w:t>
            </w:r>
          </w:p>
        </w:tc>
        <w:tc>
          <w:tcPr>
            <w:tcW w:type="dxa" w:w="2800"/>
          </w:tcPr>
          <w:p>
            <w:pPr>
              <w:spacing w:after="60"/>
            </w:pPr>
            <w:r>
              <w:rPr>
                <w:rFonts w:ascii="Arial" w:cs="Arial" w:eastAsia="Arial" w:hAnsi="Arial"/>
                <w:sz w:val="20"/>
                <w:szCs w:val="20"/>
              </w:rPr>
              <w:t xml:space="preserve">None (archived)</w:t>
            </w:r>
          </w:p>
        </w:tc>
      </w:tr>
    </w:tbl>
    <w:p>
      <w:pPr>
        <w:pStyle w:val="Heading3"/>
        <w:spacing w:before="240" w:after="160"/>
      </w:pPr>
      <w:r>
        <w:rPr>
          <w:rFonts w:ascii="Arial" w:cs="Arial" w:eastAsia="Arial" w:hAnsi="Arial"/>
          <w:color w:val="1F4D78"/>
          <w:sz w:val="24"/>
          <w:szCs w:val="24"/>
        </w:rPr>
        <w:t xml:space="preserve">State Transition Diagram</w:t>
      </w:r>
    </w:p>
    <w:p>
      <w:pPr>
        <w:spacing w:after="200" w:line="276"/>
      </w:pPr>
      <w:r>
        <w:rPr>
          <w:rFonts w:ascii="Arial" w:cs="Arial" w:eastAsia="Arial" w:hAnsi="Arial"/>
          <w:color w:val="333333"/>
          <w:sz w:val="22"/>
          <w:szCs w:val="22"/>
        </w:rPr>
        <w:t xml:space="preserve">The following diagram shows all valid state transitions. Each arrow represents an action you take in the GUI (drag or right-click “Move to”) along with the trigger that prompted the move. The system enforces these transitions: you cannot skip states or move backward except through the defined paths.</w:t>
      </w:r>
    </w:p>
    <w:tbl>
      <w:tblPr>
        <w:tblW w:type="dxa" w:w="9360"/>
        <w:tblBorders>
          <w:top w:val="single" w:color="auto" w:sz="4"/>
          <w:left w:val="single" w:color="auto" w:sz="4"/>
          <w:bottom w:val="single" w:color="auto" w:sz="4"/>
          <w:right w:val="single" w:color="auto" w:sz="4"/>
        </w:tblBorders>
      </w:tblPr>
      <w:tblGrid>
        <w:gridCol w:w="9360"/>
      </w:tblGrid>
      <w:tr>
        <w:tc>
          <w:tcPr>
            <w:tcW w:type="dxa" w:w="9360"/>
            <w:shd w:val="clear" w:fill="F2F2F2"/>
          </w:tcPr>
          <w:p>
            <w:pPr>
              <w:spacing w:after="100"/>
            </w:pPr>
            <w:r>
              <w:rPr>
                <w:rFonts w:ascii="Arial" w:cs="Arial" w:eastAsia="Arial" w:hAnsi="Arial"/>
                <w:b/>
                <w:sz w:val="22"/>
                <w:szCs w:val="22"/>
              </w:rPr>
              <w:t xml:space="preserve">Position State Machine — Transition Map</w:t>
            </w:r>
          </w:p>
          <w:p>
            <w:pPr>
              <w:spacing w:after="100"/>
            </w:pPr>
            <w:r>
              <w:rPr>
                <w:rFonts w:ascii="Arial" w:cs="Arial" w:eastAsia="Arial" w:hAnsi="Arial"/>
                <w:sz w:val="22"/>
                <w:szCs w:val="22"/>
              </w:rPr>
              <w:t xml:space="preserve">BUILDING THE POSITION (forward progression):  State 0 (Watching) → State 1 (Entry 1): Breakout confirmed, initial 50% buy executed  State 1 (Entry 1) → State 2 (Entry 2): Stock +2–2.5% above entry, Pyramid 1 filled  State 2 (Entry 2) → State 3 (Full Position): Stock +4–5% above entry, Pyramid 2 filled  TAKING PROFITS (offensive sells):  State 3 (Full Position) → State 4 (TP1 Hit): Stock +20–25%, first profit take  State 4 (TP1 Hit) → State 5 (TP2 Hit): Stock +25%+, second profit take  State 5 (TP2 Hit) → State 6 (Trailing): Trailing stop set on remaining shares  CLOSING THE POSITION (final exits):  Any active state (1–6) → State -1 (Closed): Voluntary exit with profit  Any active state (1–6) → State -2 (Stopped Out): Stop loss hit, 50-day MA breakdown, or market correction exit  State 0 (Watching) → State -1 (Closed): Remove from watchlist without entering  RE-ENTRY WATCH (second chance pathway):  Any active state (1–6) → State -1.5 (Exited Watch): Stopped out or technical sell, stock still has potential  State -1.5 → State 1 (Entry 1): MA bounce or pivot retest confirmed, re-enter position  State -1.5 → State 0 (Watching): New base forming, return to standard watchlist  State -1.5 → State -1 or -2: Archive, no longer monitoring  SKIP TRANSITIONS (experienced traders):  State 1 → State 3: Quick fill to full position (e.g., fast-moving breakout)  State 1 → State 4: Skip pyramids, take first profit directly  State 2 → State 4: Take profit from Entry 2 without completing pyramids  State 2/3/4 → State 6: Move directly to trailing stop</w:t>
            </w:r>
          </w:p>
        </w:tc>
      </w:tr>
    </w:tbl>
    <w:p>
      <w:pPr>
        <w:pStyle w:val="Heading3"/>
        <w:spacing w:before="240" w:after="160"/>
      </w:pPr>
      <w:r>
        <w:rPr>
          <w:rFonts w:ascii="Arial" w:cs="Arial" w:eastAsia="Arial" w:hAnsi="Arial"/>
          <w:color w:val="1F4D78"/>
          <w:sz w:val="24"/>
          <w:szCs w:val="24"/>
        </w:rPr>
        <w:t xml:space="preserve">Transition Triggers and Required Fields</w:t>
      </w:r>
    </w:p>
    <w:p>
      <w:pPr>
        <w:spacing w:after="200" w:line="276"/>
      </w:pPr>
      <w:r>
        <w:rPr>
          <w:rFonts w:ascii="Arial" w:cs="Arial" w:eastAsia="Arial" w:hAnsi="Arial"/>
          <w:color w:val="333333"/>
          <w:sz w:val="22"/>
          <w:szCs w:val="22"/>
        </w:rPr>
        <w:t xml:space="preserve">Each state transition requires specific data entry. When you drag a card or right-click “Move to,” the system presents a transition dialog requesting the required fields. You cannot complete the transition without providing this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shd w:val="clear" w:fill="D5E8F0"/>
          </w:tcPr>
          <w:p>
            <w:pPr>
              <w:spacing w:after="60"/>
            </w:pPr>
            <w:r>
              <w:rPr>
                <w:rFonts w:ascii="Arial" w:cs="Arial" w:eastAsia="Arial" w:hAnsi="Arial"/>
                <w:b/>
                <w:sz w:val="20"/>
                <w:szCs w:val="20"/>
              </w:rPr>
              <w:t xml:space="preserve">Transition</w:t>
            </w:r>
          </w:p>
        </w:tc>
        <w:tc>
          <w:tcPr>
            <w:tcW w:type="dxa" w:w="2800"/>
            <w:shd w:val="clear" w:fill="D5E8F0"/>
          </w:tcPr>
          <w:p>
            <w:pPr>
              <w:spacing w:after="60"/>
            </w:pPr>
            <w:r>
              <w:rPr>
                <w:rFonts w:ascii="Arial" w:cs="Arial" w:eastAsia="Arial" w:hAnsi="Arial"/>
                <w:b/>
                <w:sz w:val="20"/>
                <w:szCs w:val="20"/>
              </w:rPr>
              <w:t xml:space="preserve">Trigger</w:t>
            </w:r>
          </w:p>
        </w:tc>
        <w:tc>
          <w:tcPr>
            <w:tcW w:type="dxa" w:w="3000"/>
            <w:shd w:val="clear" w:fill="D5E8F0"/>
          </w:tcPr>
          <w:p>
            <w:pPr>
              <w:spacing w:after="60"/>
            </w:pPr>
            <w:r>
              <w:rPr>
                <w:rFonts w:ascii="Arial" w:cs="Arial" w:eastAsia="Arial" w:hAnsi="Arial"/>
                <w:b/>
                <w:sz w:val="20"/>
                <w:szCs w:val="20"/>
              </w:rPr>
              <w:t xml:space="preserve">Required Fields</w:t>
            </w:r>
          </w:p>
        </w:tc>
        <w:tc>
          <w:tcPr>
            <w:tcW w:type="dxa" w:w="2360"/>
            <w:shd w:val="clear" w:fill="D5E8F0"/>
          </w:tcPr>
          <w:p>
            <w:pPr>
              <w:spacing w:after="60"/>
            </w:pPr>
            <w:r>
              <w:rPr>
                <w:rFonts w:ascii="Arial" w:cs="Arial" w:eastAsia="Arial" w:hAnsi="Arial"/>
                <w:b/>
                <w:sz w:val="20"/>
                <w:szCs w:val="20"/>
              </w:rPr>
              <w:t xml:space="preserve">Optional Fields</w:t>
            </w:r>
          </w:p>
        </w:tc>
      </w:tr>
      <w:tr>
        <w:tc>
          <w:tcPr>
            <w:tcW w:type="dxa" w:w="1200"/>
          </w:tcPr>
          <w:p>
            <w:pPr>
              <w:spacing w:after="60"/>
            </w:pPr>
            <w:r>
              <w:rPr>
                <w:rFonts w:ascii="Arial" w:cs="Arial" w:eastAsia="Arial" w:hAnsi="Arial"/>
                <w:sz w:val="20"/>
                <w:szCs w:val="20"/>
              </w:rPr>
              <w:t xml:space="preserve">0 → 1</w:t>
            </w:r>
          </w:p>
        </w:tc>
        <w:tc>
          <w:tcPr>
            <w:tcW w:type="dxa" w:w="2800"/>
          </w:tcPr>
          <w:p>
            <w:pPr>
              <w:spacing w:after="60"/>
            </w:pPr>
            <w:r>
              <w:rPr>
                <w:rFonts w:ascii="Arial" w:cs="Arial" w:eastAsia="Arial" w:hAnsi="Arial"/>
                <w:sz w:val="20"/>
                <w:szCs w:val="20"/>
              </w:rPr>
              <w:t xml:space="preserve">Breakout alert, order filled</w:t>
            </w:r>
          </w:p>
        </w:tc>
        <w:tc>
          <w:tcPr>
            <w:tcW w:type="dxa" w:w="3000"/>
          </w:tcPr>
          <w:p>
            <w:pPr>
              <w:spacing w:after="60"/>
            </w:pPr>
            <w:r>
              <w:rPr>
                <w:rFonts w:ascii="Arial" w:cs="Arial" w:eastAsia="Arial" w:hAnsi="Arial"/>
                <w:sz w:val="20"/>
                <w:szCs w:val="20"/>
              </w:rPr>
              <w:t xml:space="preserve">E1 Shares, E1 Price, Stop Price</w:t>
            </w:r>
          </w:p>
        </w:tc>
        <w:tc>
          <w:tcPr>
            <w:tcW w:type="dxa" w:w="2360"/>
          </w:tcPr>
          <w:p>
            <w:pPr>
              <w:spacing w:after="60"/>
            </w:pPr>
            <w:r>
              <w:rPr>
                <w:rFonts w:ascii="Arial" w:cs="Arial" w:eastAsia="Arial" w:hAnsi="Arial"/>
                <w:sz w:val="20"/>
                <w:szCs w:val="20"/>
              </w:rPr>
              <w:t xml:space="preserve">Entry Date, Breakout Date</w:t>
            </w:r>
          </w:p>
        </w:tc>
      </w:tr>
      <w:tr>
        <w:tc>
          <w:tcPr>
            <w:tcW w:type="dxa" w:w="1200"/>
          </w:tcPr>
          <w:p>
            <w:pPr>
              <w:spacing w:after="60"/>
            </w:pPr>
            <w:r>
              <w:rPr>
                <w:rFonts w:ascii="Arial" w:cs="Arial" w:eastAsia="Arial" w:hAnsi="Arial"/>
                <w:sz w:val="20"/>
                <w:szCs w:val="20"/>
              </w:rPr>
              <w:t xml:space="preserve">1 → 2</w:t>
            </w:r>
          </w:p>
        </w:tc>
        <w:tc>
          <w:tcPr>
            <w:tcW w:type="dxa" w:w="2800"/>
          </w:tcPr>
          <w:p>
            <w:pPr>
              <w:spacing w:after="60"/>
            </w:pPr>
            <w:r>
              <w:rPr>
                <w:rFonts w:ascii="Arial" w:cs="Arial" w:eastAsia="Arial" w:hAnsi="Arial"/>
                <w:sz w:val="20"/>
                <w:szCs w:val="20"/>
              </w:rPr>
              <w:t xml:space="preserve">P1 Ready alert, pyramid filled</w:t>
            </w:r>
          </w:p>
        </w:tc>
        <w:tc>
          <w:tcPr>
            <w:tcW w:type="dxa" w:w="3000"/>
          </w:tcPr>
          <w:p>
            <w:pPr>
              <w:spacing w:after="60"/>
            </w:pPr>
            <w:r>
              <w:rPr>
                <w:rFonts w:ascii="Arial" w:cs="Arial" w:eastAsia="Arial" w:hAnsi="Arial"/>
                <w:sz w:val="20"/>
                <w:szCs w:val="20"/>
              </w:rPr>
              <w:t xml:space="preserve">E2 Shares, E2 Price</w:t>
            </w:r>
          </w:p>
        </w:tc>
        <w:tc>
          <w:tcPr>
            <w:tcW w:type="dxa" w:w="2360"/>
          </w:tcPr>
          <w:p>
            <w:pPr>
              <w:spacing w:after="60"/>
            </w:pPr>
            <w:r>
              <w:rPr>
                <w:rFonts w:ascii="Arial" w:cs="Arial" w:eastAsia="Arial" w:hAnsi="Arial"/>
                <w:sz w:val="20"/>
                <w:szCs w:val="20"/>
              </w:rPr>
              <w:t xml:space="preserve"/>
            </w:r>
          </w:p>
        </w:tc>
      </w:tr>
      <w:tr>
        <w:tc>
          <w:tcPr>
            <w:tcW w:type="dxa" w:w="1200"/>
          </w:tcPr>
          <w:p>
            <w:pPr>
              <w:spacing w:after="60"/>
            </w:pPr>
            <w:r>
              <w:rPr>
                <w:rFonts w:ascii="Arial" w:cs="Arial" w:eastAsia="Arial" w:hAnsi="Arial"/>
                <w:sz w:val="20"/>
                <w:szCs w:val="20"/>
              </w:rPr>
              <w:t xml:space="preserve">2 → 3</w:t>
            </w:r>
          </w:p>
        </w:tc>
        <w:tc>
          <w:tcPr>
            <w:tcW w:type="dxa" w:w="2800"/>
          </w:tcPr>
          <w:p>
            <w:pPr>
              <w:spacing w:after="60"/>
            </w:pPr>
            <w:r>
              <w:rPr>
                <w:rFonts w:ascii="Arial" w:cs="Arial" w:eastAsia="Arial" w:hAnsi="Arial"/>
                <w:sz w:val="20"/>
                <w:szCs w:val="20"/>
              </w:rPr>
              <w:t xml:space="preserve">P2 Ready alert, pyramid filled</w:t>
            </w:r>
          </w:p>
        </w:tc>
        <w:tc>
          <w:tcPr>
            <w:tcW w:type="dxa" w:w="3000"/>
          </w:tcPr>
          <w:p>
            <w:pPr>
              <w:spacing w:after="60"/>
            </w:pPr>
            <w:r>
              <w:rPr>
                <w:rFonts w:ascii="Arial" w:cs="Arial" w:eastAsia="Arial" w:hAnsi="Arial"/>
                <w:sz w:val="20"/>
                <w:szCs w:val="20"/>
              </w:rPr>
              <w:t xml:space="preserve">E3 Shares, E3 Price</w:t>
            </w:r>
          </w:p>
        </w:tc>
        <w:tc>
          <w:tcPr>
            <w:tcW w:type="dxa" w:w="2360"/>
          </w:tcPr>
          <w:p>
            <w:pPr>
              <w:spacing w:after="60"/>
            </w:pPr>
            <w:r>
              <w:rPr>
                <w:rFonts w:ascii="Arial" w:cs="Arial" w:eastAsia="Arial" w:hAnsi="Arial"/>
                <w:sz w:val="20"/>
                <w:szCs w:val="20"/>
              </w:rPr>
              <w:t xml:space="preserve"/>
            </w:r>
          </w:p>
        </w:tc>
      </w:tr>
      <w:tr>
        <w:tc>
          <w:tcPr>
            <w:tcW w:type="dxa" w:w="1200"/>
          </w:tcPr>
          <w:p>
            <w:pPr>
              <w:spacing w:after="60"/>
            </w:pPr>
            <w:r>
              <w:rPr>
                <w:rFonts w:ascii="Arial" w:cs="Arial" w:eastAsia="Arial" w:hAnsi="Arial"/>
                <w:sz w:val="20"/>
                <w:szCs w:val="20"/>
              </w:rPr>
              <w:t xml:space="preserve">3 → 4</w:t>
            </w:r>
          </w:p>
        </w:tc>
        <w:tc>
          <w:tcPr>
            <w:tcW w:type="dxa" w:w="2800"/>
          </w:tcPr>
          <w:p>
            <w:pPr>
              <w:spacing w:after="60"/>
            </w:pPr>
            <w:r>
              <w:rPr>
                <w:rFonts w:ascii="Arial" w:cs="Arial" w:eastAsia="Arial" w:hAnsi="Arial"/>
                <w:sz w:val="20"/>
                <w:szCs w:val="20"/>
              </w:rPr>
              <w:t xml:space="preserve">TP1 alert, partial sell executed</w:t>
            </w:r>
          </w:p>
        </w:tc>
        <w:tc>
          <w:tcPr>
            <w:tcW w:type="dxa" w:w="3000"/>
          </w:tcPr>
          <w:p>
            <w:pPr>
              <w:spacing w:after="60"/>
            </w:pPr>
            <w:r>
              <w:rPr>
                <w:rFonts w:ascii="Arial" w:cs="Arial" w:eastAsia="Arial" w:hAnsi="Arial"/>
                <w:sz w:val="20"/>
                <w:szCs w:val="20"/>
              </w:rPr>
              <w:t xml:space="preserve">TP1 Shares Sold, TP1 Price</w:t>
            </w:r>
          </w:p>
        </w:tc>
        <w:tc>
          <w:tcPr>
            <w:tcW w:type="dxa" w:w="2360"/>
          </w:tcPr>
          <w:p>
            <w:pPr>
              <w:spacing w:after="60"/>
            </w:pPr>
            <w:r>
              <w:rPr>
                <w:rFonts w:ascii="Arial" w:cs="Arial" w:eastAsia="Arial" w:hAnsi="Arial"/>
                <w:sz w:val="20"/>
                <w:szCs w:val="20"/>
              </w:rPr>
              <w:t xml:space="preserve">TP1 Date</w:t>
            </w:r>
          </w:p>
        </w:tc>
      </w:tr>
      <w:tr>
        <w:tc>
          <w:tcPr>
            <w:tcW w:type="dxa" w:w="1200"/>
          </w:tcPr>
          <w:p>
            <w:pPr>
              <w:spacing w:after="60"/>
            </w:pPr>
            <w:r>
              <w:rPr>
                <w:rFonts w:ascii="Arial" w:cs="Arial" w:eastAsia="Arial" w:hAnsi="Arial"/>
                <w:sz w:val="20"/>
                <w:szCs w:val="20"/>
              </w:rPr>
              <w:t xml:space="preserve">4 → 5</w:t>
            </w:r>
          </w:p>
        </w:tc>
        <w:tc>
          <w:tcPr>
            <w:tcW w:type="dxa" w:w="2800"/>
          </w:tcPr>
          <w:p>
            <w:pPr>
              <w:spacing w:after="60"/>
            </w:pPr>
            <w:r>
              <w:rPr>
                <w:rFonts w:ascii="Arial" w:cs="Arial" w:eastAsia="Arial" w:hAnsi="Arial"/>
                <w:sz w:val="20"/>
                <w:szCs w:val="20"/>
              </w:rPr>
              <w:t xml:space="preserve">TP2 alert, partial sell executed</w:t>
            </w:r>
          </w:p>
        </w:tc>
        <w:tc>
          <w:tcPr>
            <w:tcW w:type="dxa" w:w="3000"/>
          </w:tcPr>
          <w:p>
            <w:pPr>
              <w:spacing w:after="60"/>
            </w:pPr>
            <w:r>
              <w:rPr>
                <w:rFonts w:ascii="Arial" w:cs="Arial" w:eastAsia="Arial" w:hAnsi="Arial"/>
                <w:sz w:val="20"/>
                <w:szCs w:val="20"/>
              </w:rPr>
              <w:t xml:space="preserve">TP2 Shares Sold, TP2 Price</w:t>
            </w:r>
          </w:p>
        </w:tc>
        <w:tc>
          <w:tcPr>
            <w:tcW w:type="dxa" w:w="2360"/>
          </w:tcPr>
          <w:p>
            <w:pPr>
              <w:spacing w:after="60"/>
            </w:pPr>
            <w:r>
              <w:rPr>
                <w:rFonts w:ascii="Arial" w:cs="Arial" w:eastAsia="Arial" w:hAnsi="Arial"/>
                <w:sz w:val="20"/>
                <w:szCs w:val="20"/>
              </w:rPr>
              <w:t xml:space="preserve">TP2 Date</w:t>
            </w:r>
          </w:p>
        </w:tc>
      </w:tr>
      <w:tr>
        <w:tc>
          <w:tcPr>
            <w:tcW w:type="dxa" w:w="1200"/>
          </w:tcPr>
          <w:p>
            <w:pPr>
              <w:spacing w:after="60"/>
            </w:pPr>
            <w:r>
              <w:rPr>
                <w:rFonts w:ascii="Arial" w:cs="Arial" w:eastAsia="Arial" w:hAnsi="Arial"/>
                <w:sz w:val="20"/>
                <w:szCs w:val="20"/>
              </w:rPr>
              <w:t xml:space="preserve">5 → 6</w:t>
            </w:r>
          </w:p>
        </w:tc>
        <w:tc>
          <w:tcPr>
            <w:tcW w:type="dxa" w:w="2800"/>
          </w:tcPr>
          <w:p>
            <w:pPr>
              <w:spacing w:after="60"/>
            </w:pPr>
            <w:r>
              <w:rPr>
                <w:rFonts w:ascii="Arial" w:cs="Arial" w:eastAsia="Arial" w:hAnsi="Arial"/>
                <w:sz w:val="20"/>
                <w:szCs w:val="20"/>
              </w:rPr>
              <w:t xml:space="preserve">Decision to trail remaining</w:t>
            </w:r>
          </w:p>
        </w:tc>
        <w:tc>
          <w:tcPr>
            <w:tcW w:type="dxa" w:w="3000"/>
          </w:tcPr>
          <w:p>
            <w:pPr>
              <w:spacing w:after="60"/>
            </w:pPr>
            <w:r>
              <w:rPr>
                <w:rFonts w:ascii="Arial" w:cs="Arial" w:eastAsia="Arial" w:hAnsi="Arial"/>
                <w:sz w:val="20"/>
                <w:szCs w:val="20"/>
              </w:rPr>
              <w:t xml:space="preserve">(none)</w:t>
            </w:r>
          </w:p>
        </w:tc>
        <w:tc>
          <w:tcPr>
            <w:tcW w:type="dxa" w:w="2360"/>
          </w:tcPr>
          <w:p>
            <w:pPr>
              <w:spacing w:after="60"/>
            </w:pPr>
            <w:r>
              <w:rPr>
                <w:rFonts w:ascii="Arial" w:cs="Arial" w:eastAsia="Arial" w:hAnsi="Arial"/>
                <w:sz w:val="20"/>
                <w:szCs w:val="20"/>
              </w:rPr>
              <w:t xml:space="preserve"/>
            </w:r>
          </w:p>
        </w:tc>
      </w:tr>
      <w:tr>
        <w:tc>
          <w:tcPr>
            <w:tcW w:type="dxa" w:w="1200"/>
          </w:tcPr>
          <w:p>
            <w:pPr>
              <w:spacing w:after="60"/>
            </w:pPr>
            <w:r>
              <w:rPr>
                <w:rFonts w:ascii="Arial" w:cs="Arial" w:eastAsia="Arial" w:hAnsi="Arial"/>
                <w:sz w:val="20"/>
                <w:szCs w:val="20"/>
              </w:rPr>
              <w:t xml:space="preserve">Any → -1</w:t>
            </w:r>
          </w:p>
        </w:tc>
        <w:tc>
          <w:tcPr>
            <w:tcW w:type="dxa" w:w="2800"/>
          </w:tcPr>
          <w:p>
            <w:pPr>
              <w:spacing w:after="60"/>
            </w:pPr>
            <w:r>
              <w:rPr>
                <w:rFonts w:ascii="Arial" w:cs="Arial" w:eastAsia="Arial" w:hAnsi="Arial"/>
                <w:sz w:val="20"/>
                <w:szCs w:val="20"/>
              </w:rPr>
              <w:t xml:space="preserve">Voluntary close</w:t>
            </w:r>
          </w:p>
        </w:tc>
        <w:tc>
          <w:tcPr>
            <w:tcW w:type="dxa" w:w="3000"/>
          </w:tcPr>
          <w:p>
            <w:pPr>
              <w:spacing w:after="60"/>
            </w:pPr>
            <w:r>
              <w:rPr>
                <w:rFonts w:ascii="Arial" w:cs="Arial" w:eastAsia="Arial" w:hAnsi="Arial"/>
                <w:sz w:val="20"/>
                <w:szCs w:val="20"/>
              </w:rPr>
              <w:t xml:space="preserve">Exit Date, Exit Price, Exit Reason</w:t>
            </w:r>
          </w:p>
        </w:tc>
        <w:tc>
          <w:tcPr>
            <w:tcW w:type="dxa" w:w="2360"/>
          </w:tcPr>
          <w:p>
            <w:pPr>
              <w:spacing w:after="60"/>
            </w:pPr>
            <w:r>
              <w:rPr>
                <w:rFonts w:ascii="Arial" w:cs="Arial" w:eastAsia="Arial" w:hAnsi="Arial"/>
                <w:sz w:val="20"/>
                <w:szCs w:val="20"/>
              </w:rPr>
              <w:t xml:space="preserve">Notes</w:t>
            </w:r>
          </w:p>
        </w:tc>
      </w:tr>
      <w:tr>
        <w:tc>
          <w:tcPr>
            <w:tcW w:type="dxa" w:w="1200"/>
          </w:tcPr>
          <w:p>
            <w:pPr>
              <w:spacing w:after="60"/>
            </w:pPr>
            <w:r>
              <w:rPr>
                <w:rFonts w:ascii="Arial" w:cs="Arial" w:eastAsia="Arial" w:hAnsi="Arial"/>
                <w:sz w:val="20"/>
                <w:szCs w:val="20"/>
              </w:rPr>
              <w:t xml:space="preserve">Any → -2</w:t>
            </w:r>
          </w:p>
        </w:tc>
        <w:tc>
          <w:tcPr>
            <w:tcW w:type="dxa" w:w="2800"/>
          </w:tcPr>
          <w:p>
            <w:pPr>
              <w:spacing w:after="60"/>
            </w:pPr>
            <w:r>
              <w:rPr>
                <w:rFonts w:ascii="Arial" w:cs="Arial" w:eastAsia="Arial" w:hAnsi="Arial"/>
                <w:sz w:val="20"/>
                <w:szCs w:val="20"/>
              </w:rPr>
              <w:t xml:space="preserve">Stop loss hit</w:t>
            </w:r>
          </w:p>
        </w:tc>
        <w:tc>
          <w:tcPr>
            <w:tcW w:type="dxa" w:w="3000"/>
          </w:tcPr>
          <w:p>
            <w:pPr>
              <w:spacing w:after="60"/>
            </w:pPr>
            <w:r>
              <w:rPr>
                <w:rFonts w:ascii="Arial" w:cs="Arial" w:eastAsia="Arial" w:hAnsi="Arial"/>
                <w:sz w:val="20"/>
                <w:szCs w:val="20"/>
              </w:rPr>
              <w:t xml:space="preserve">Exit Date, Exit Price</w:t>
            </w:r>
          </w:p>
        </w:tc>
        <w:tc>
          <w:tcPr>
            <w:tcW w:type="dxa" w:w="2360"/>
          </w:tcPr>
          <w:p>
            <w:pPr>
              <w:spacing w:after="60"/>
            </w:pPr>
            <w:r>
              <w:rPr>
                <w:rFonts w:ascii="Arial" w:cs="Arial" w:eastAsia="Arial" w:hAnsi="Arial"/>
                <w:sz w:val="20"/>
                <w:szCs w:val="20"/>
              </w:rPr>
              <w:t xml:space="preserve">Notes</w:t>
            </w:r>
          </w:p>
        </w:tc>
      </w:tr>
      <w:tr>
        <w:tc>
          <w:tcPr>
            <w:tcW w:type="dxa" w:w="1200"/>
          </w:tcPr>
          <w:p>
            <w:pPr>
              <w:spacing w:after="60"/>
            </w:pPr>
            <w:r>
              <w:rPr>
                <w:rFonts w:ascii="Arial" w:cs="Arial" w:eastAsia="Arial" w:hAnsi="Arial"/>
                <w:sz w:val="20"/>
                <w:szCs w:val="20"/>
              </w:rPr>
              <w:t xml:space="preserve">Any → -1.5</w:t>
            </w:r>
          </w:p>
        </w:tc>
        <w:tc>
          <w:tcPr>
            <w:tcW w:type="dxa" w:w="2800"/>
          </w:tcPr>
          <w:p>
            <w:pPr>
              <w:spacing w:after="60"/>
            </w:pPr>
            <w:r>
              <w:rPr>
                <w:rFonts w:ascii="Arial" w:cs="Arial" w:eastAsia="Arial" w:hAnsi="Arial"/>
                <w:sz w:val="20"/>
                <w:szCs w:val="20"/>
              </w:rPr>
              <w:t xml:space="preserve">Stopped/technical sell with re-entry potential</w:t>
            </w:r>
          </w:p>
        </w:tc>
        <w:tc>
          <w:tcPr>
            <w:tcW w:type="dxa" w:w="3000"/>
          </w:tcPr>
          <w:p>
            <w:pPr>
              <w:spacing w:after="60"/>
            </w:pPr>
            <w:r>
              <w:rPr>
                <w:rFonts w:ascii="Arial" w:cs="Arial" w:eastAsia="Arial" w:hAnsi="Arial"/>
                <w:sz w:val="20"/>
                <w:szCs w:val="20"/>
              </w:rPr>
              <w:t xml:space="preserve">Close Date, Close Price, Close Reason</w:t>
            </w:r>
          </w:p>
        </w:tc>
        <w:tc>
          <w:tcPr>
            <w:tcW w:type="dxa" w:w="2360"/>
          </w:tcPr>
          <w:p>
            <w:pPr>
              <w:spacing w:after="60"/>
            </w:pPr>
            <w:r>
              <w:rPr>
                <w:rFonts w:ascii="Arial" w:cs="Arial" w:eastAsia="Arial" w:hAnsi="Arial"/>
                <w:sz w:val="20"/>
                <w:szCs w:val="20"/>
              </w:rPr>
              <w:t xml:space="preserve">Notes</w:t>
            </w:r>
          </w:p>
        </w:tc>
      </w:tr>
      <w:tr>
        <w:tc>
          <w:tcPr>
            <w:tcW w:type="dxa" w:w="1200"/>
          </w:tcPr>
          <w:p>
            <w:pPr>
              <w:spacing w:after="60"/>
            </w:pPr>
            <w:r>
              <w:rPr>
                <w:rFonts w:ascii="Arial" w:cs="Arial" w:eastAsia="Arial" w:hAnsi="Arial"/>
                <w:sz w:val="20"/>
                <w:szCs w:val="20"/>
              </w:rPr>
              <w:t xml:space="preserve">-1.5 → 1</w:t>
            </w:r>
          </w:p>
        </w:tc>
        <w:tc>
          <w:tcPr>
            <w:tcW w:type="dxa" w:w="2800"/>
          </w:tcPr>
          <w:p>
            <w:pPr>
              <w:spacing w:after="60"/>
            </w:pPr>
            <w:r>
              <w:rPr>
                <w:rFonts w:ascii="Arial" w:cs="Arial" w:eastAsia="Arial" w:hAnsi="Arial"/>
                <w:sz w:val="20"/>
                <w:szCs w:val="20"/>
              </w:rPr>
              <w:t xml:space="preserve">MA bounce or pivot retest re-entry</w:t>
            </w:r>
          </w:p>
        </w:tc>
        <w:tc>
          <w:tcPr>
            <w:tcW w:type="dxa" w:w="3000"/>
          </w:tcPr>
          <w:p>
            <w:pPr>
              <w:spacing w:after="60"/>
            </w:pPr>
            <w:r>
              <w:rPr>
                <w:rFonts w:ascii="Arial" w:cs="Arial" w:eastAsia="Arial" w:hAnsi="Arial"/>
                <w:sz w:val="20"/>
                <w:szCs w:val="20"/>
              </w:rPr>
              <w:t xml:space="preserve">E1 Shares, E1 Price, Stop Price</w:t>
            </w:r>
          </w:p>
        </w:tc>
        <w:tc>
          <w:tcPr>
            <w:tcW w:type="dxa" w:w="2360"/>
          </w:tcPr>
          <w:p>
            <w:pPr>
              <w:spacing w:after="60"/>
            </w:pPr>
            <w:r>
              <w:rPr>
                <w:rFonts w:ascii="Arial" w:cs="Arial" w:eastAsia="Arial" w:hAnsi="Arial"/>
                <w:sz w:val="20"/>
                <w:szCs w:val="20"/>
              </w:rPr>
              <w:t xml:space="preserve">Entry Date, Notes</w:t>
            </w:r>
          </w:p>
        </w:tc>
      </w:tr>
      <w:tr>
        <w:tc>
          <w:tcPr>
            <w:tcW w:type="dxa" w:w="1200"/>
          </w:tcPr>
          <w:p>
            <w:pPr>
              <w:spacing w:after="60"/>
            </w:pPr>
            <w:r>
              <w:rPr>
                <w:rFonts w:ascii="Arial" w:cs="Arial" w:eastAsia="Arial" w:hAnsi="Arial"/>
                <w:sz w:val="20"/>
                <w:szCs w:val="20"/>
              </w:rPr>
              <w:t xml:space="preserve">-1.5 → 0</w:t>
            </w:r>
          </w:p>
        </w:tc>
        <w:tc>
          <w:tcPr>
            <w:tcW w:type="dxa" w:w="2800"/>
          </w:tcPr>
          <w:p>
            <w:pPr>
              <w:spacing w:after="60"/>
            </w:pPr>
            <w:r>
              <w:rPr>
                <w:rFonts w:ascii="Arial" w:cs="Arial" w:eastAsia="Arial" w:hAnsi="Arial"/>
                <w:sz w:val="20"/>
                <w:szCs w:val="20"/>
              </w:rPr>
              <w:t xml:space="preserve">New base forming</w:t>
            </w:r>
          </w:p>
        </w:tc>
        <w:tc>
          <w:tcPr>
            <w:tcW w:type="dxa" w:w="3000"/>
          </w:tcPr>
          <w:p>
            <w:pPr>
              <w:spacing w:after="60"/>
            </w:pPr>
            <w:r>
              <w:rPr>
                <w:rFonts w:ascii="Arial" w:cs="Arial" w:eastAsia="Arial" w:hAnsi="Arial"/>
                <w:sz w:val="20"/>
                <w:szCs w:val="20"/>
              </w:rPr>
              <w:t xml:space="preserve">Pivot</w:t>
            </w:r>
          </w:p>
        </w:tc>
        <w:tc>
          <w:tcPr>
            <w:tcW w:type="dxa" w:w="2360"/>
          </w:tcPr>
          <w:p>
            <w:pPr>
              <w:spacing w:after="60"/>
            </w:pPr>
            <w:r>
              <w:rPr>
                <w:rFonts w:ascii="Arial" w:cs="Arial" w:eastAsia="Arial" w:hAnsi="Arial"/>
                <w:sz w:val="20"/>
                <w:szCs w:val="20"/>
              </w:rPr>
              <w:t xml:space="preserve">Notes</w:t>
            </w:r>
          </w:p>
        </w:tc>
      </w:tr>
    </w:tbl>
    <w:p>
      <w:pPr>
        <w:pStyle w:val="Heading3"/>
        <w:spacing w:before="240" w:after="160"/>
      </w:pPr>
      <w:r>
        <w:rPr>
          <w:rFonts w:ascii="Arial" w:cs="Arial" w:eastAsia="Arial" w:hAnsi="Arial"/>
          <w:color w:val="1F4D78"/>
          <w:sz w:val="24"/>
          <w:szCs w:val="24"/>
        </w:rPr>
        <w:t xml:space="preserve">The Complete Position Lifecycle</w:t>
      </w:r>
    </w:p>
    <w:p>
      <w:pPr>
        <w:spacing w:after="200" w:line="276"/>
      </w:pPr>
      <w:r>
        <w:rPr>
          <w:rFonts w:ascii="Arial" w:cs="Arial" w:eastAsia="Arial" w:hAnsi="Arial"/>
          <w:color w:val="333333"/>
          <w:sz w:val="22"/>
          <w:szCs w:val="22"/>
        </w:rPr>
        <w:t xml:space="preserve">To summarize the full lifecycle that Parts I through IV have described, a stock progresses through the following states. It enters the system when you add it to the watchlist through the GUI using the Add Position dialog or the Score Preview workflow (State 0). It advances to State 1 when you execute the initial 50% entry after a confirmed breakout alert. It advances to State 2 and then State 3 as you pyramid with 25% tranches. It moves to State 4 and State 5 as you take partial profits at TP1 and TP2. It may advance to State 6 (Trailing) if you choose to trail the remaining position with a moving stop. And it transitions to State -1 (Closed) or State -2 (Stopped Out) when the final shares are sold. Alternatively, it may move to State -1.5 (Exited Watch) if the stock was stopped out but still shows potential for a re-entry opportunity through an MA bounce or pivot retest.</w:t>
      </w:r>
    </w:p>
    <w:p>
      <w:pPr>
        <w:spacing w:after="200" w:line="276"/>
      </w:pPr>
      <w:r>
        <w:rPr>
          <w:rFonts w:ascii="Arial" w:cs="Arial" w:eastAsia="Arial" w:hAnsi="Arial"/>
          <w:color w:val="333333"/>
          <w:sz w:val="22"/>
          <w:szCs w:val="22"/>
        </w:rPr>
        <w:t xml:space="preserve">At every stage, the system is monitoring, scoring, and alerting. The breakout thread watches State 0 positions. The position thread monitors States 1 through 6 and State -1.5. Alerts are generated at each transition point. The scoring snapshot captures the setup quality at entry. The outcome record captures the final result. And the complete history, from first watchlist entry to final close, is preserved in the database for analysis, learning, and continuous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4160"/>
      </w:tblGrid>
      <w:tr>
        <w:tc>
          <w:tcPr>
            <w:tcW w:type="dxa" w:w="1400"/>
            <w:shd w:val="clear" w:fill="D5E8F0"/>
          </w:tcPr>
          <w:p>
            <w:pPr>
              <w:spacing w:after="60"/>
            </w:pPr>
            <w:r>
              <w:rPr>
                <w:rFonts w:ascii="Arial" w:cs="Arial" w:eastAsia="Arial" w:hAnsi="Arial"/>
                <w:b/>
                <w:sz w:val="20"/>
                <w:szCs w:val="20"/>
              </w:rPr>
              <w:t xml:space="preserve">State</w:t>
            </w:r>
          </w:p>
        </w:tc>
        <w:tc>
          <w:tcPr>
            <w:tcW w:type="dxa" w:w="2600"/>
            <w:shd w:val="clear" w:fill="D5E8F0"/>
          </w:tcPr>
          <w:p>
            <w:pPr>
              <w:spacing w:after="60"/>
            </w:pPr>
            <w:r>
              <w:rPr>
                <w:rFonts w:ascii="Arial" w:cs="Arial" w:eastAsia="Arial" w:hAnsi="Arial"/>
                <w:b/>
                <w:sz w:val="20"/>
                <w:szCs w:val="20"/>
              </w:rPr>
              <w:t xml:space="preserve">Action</w:t>
            </w:r>
          </w:p>
        </w:tc>
        <w:tc>
          <w:tcPr>
            <w:tcW w:type="dxa" w:w="1200"/>
            <w:shd w:val="clear" w:fill="D5E8F0"/>
          </w:tcPr>
          <w:p>
            <w:pPr>
              <w:spacing w:after="60"/>
            </w:pPr>
            <w:r>
              <w:rPr>
                <w:rFonts w:ascii="Arial" w:cs="Arial" w:eastAsia="Arial" w:hAnsi="Arial"/>
                <w:b/>
                <w:sz w:val="20"/>
                <w:szCs w:val="20"/>
              </w:rPr>
              <w:t xml:space="preserve">Thread</w:t>
            </w:r>
          </w:p>
        </w:tc>
        <w:tc>
          <w:tcPr>
            <w:tcW w:type="dxa" w:w="4160"/>
            <w:shd w:val="clear" w:fill="D5E8F0"/>
          </w:tcPr>
          <w:p>
            <w:pPr>
              <w:spacing w:after="60"/>
            </w:pPr>
            <w:r>
              <w:rPr>
                <w:rFonts w:ascii="Arial" w:cs="Arial" w:eastAsia="Arial" w:hAnsi="Arial"/>
                <w:b/>
                <w:sz w:val="20"/>
                <w:szCs w:val="20"/>
              </w:rPr>
              <w:t xml:space="preserve">Key Alerts</w:t>
            </w:r>
          </w:p>
        </w:tc>
      </w:tr>
      <w:tr>
        <w:tc>
          <w:tcPr>
            <w:tcW w:type="dxa" w:w="1400"/>
          </w:tcPr>
          <w:p>
            <w:pPr>
              <w:spacing w:after="60"/>
            </w:pPr>
            <w:r>
              <w:rPr>
                <w:rFonts w:ascii="Arial" w:cs="Arial" w:eastAsia="Arial" w:hAnsi="Arial"/>
                <w:sz w:val="20"/>
                <w:szCs w:val="20"/>
              </w:rPr>
              <w:t xml:space="preserve">0 → 1</w:t>
            </w:r>
          </w:p>
        </w:tc>
        <w:tc>
          <w:tcPr>
            <w:tcW w:type="dxa" w:w="2600"/>
          </w:tcPr>
          <w:p>
            <w:pPr>
              <w:spacing w:after="60"/>
            </w:pPr>
            <w:r>
              <w:rPr>
                <w:rFonts w:ascii="Arial" w:cs="Arial" w:eastAsia="Arial" w:hAnsi="Arial"/>
                <w:sz w:val="20"/>
                <w:szCs w:val="20"/>
              </w:rPr>
              <w:t xml:space="preserve">Initial 50% entry</w:t>
            </w:r>
          </w:p>
        </w:tc>
        <w:tc>
          <w:tcPr>
            <w:tcW w:type="dxa" w:w="1200"/>
          </w:tcPr>
          <w:p>
            <w:pPr>
              <w:spacing w:after="60"/>
            </w:pPr>
            <w:r>
              <w:rPr>
                <w:rFonts w:ascii="Arial" w:cs="Arial" w:eastAsia="Arial" w:hAnsi="Arial"/>
                <w:sz w:val="20"/>
                <w:szCs w:val="20"/>
              </w:rPr>
              <w:t xml:space="preserve">Breakout</w:t>
            </w:r>
          </w:p>
        </w:tc>
        <w:tc>
          <w:tcPr>
            <w:tcW w:type="dxa" w:w="4160"/>
          </w:tcPr>
          <w:p>
            <w:pPr>
              <w:spacing w:after="60"/>
            </w:pPr>
            <w:r>
              <w:rPr>
                <w:rFonts w:ascii="Arial" w:cs="Arial" w:eastAsia="Arial" w:hAnsi="Arial"/>
                <w:sz w:val="20"/>
                <w:szCs w:val="20"/>
              </w:rPr>
              <w:t xml:space="preserve">Confirmed, In Buy Zone</w:t>
            </w:r>
          </w:p>
        </w:tc>
      </w:tr>
      <w:tr>
        <w:tc>
          <w:tcPr>
            <w:tcW w:type="dxa" w:w="1400"/>
          </w:tcPr>
          <w:p>
            <w:pPr>
              <w:spacing w:after="60"/>
            </w:pPr>
            <w:r>
              <w:rPr>
                <w:rFonts w:ascii="Arial" w:cs="Arial" w:eastAsia="Arial" w:hAnsi="Arial"/>
                <w:sz w:val="20"/>
                <w:szCs w:val="20"/>
              </w:rPr>
              <w:t xml:space="preserve">1 → 2</w:t>
            </w:r>
          </w:p>
        </w:tc>
        <w:tc>
          <w:tcPr>
            <w:tcW w:type="dxa" w:w="2600"/>
          </w:tcPr>
          <w:p>
            <w:pPr>
              <w:spacing w:after="60"/>
            </w:pPr>
            <w:r>
              <w:rPr>
                <w:rFonts w:ascii="Arial" w:cs="Arial" w:eastAsia="Arial" w:hAnsi="Arial"/>
                <w:sz w:val="20"/>
                <w:szCs w:val="20"/>
              </w:rPr>
              <w:t xml:space="preserve">Pyramid 1 (+25%)</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P1 Ready, P1 Extended</w:t>
            </w:r>
          </w:p>
        </w:tc>
      </w:tr>
      <w:tr>
        <w:tc>
          <w:tcPr>
            <w:tcW w:type="dxa" w:w="1400"/>
          </w:tcPr>
          <w:p>
            <w:pPr>
              <w:spacing w:after="60"/>
            </w:pPr>
            <w:r>
              <w:rPr>
                <w:rFonts w:ascii="Arial" w:cs="Arial" w:eastAsia="Arial" w:hAnsi="Arial"/>
                <w:sz w:val="20"/>
                <w:szCs w:val="20"/>
              </w:rPr>
              <w:t xml:space="preserve">2 → 3</w:t>
            </w:r>
          </w:p>
        </w:tc>
        <w:tc>
          <w:tcPr>
            <w:tcW w:type="dxa" w:w="2600"/>
          </w:tcPr>
          <w:p>
            <w:pPr>
              <w:spacing w:after="60"/>
            </w:pPr>
            <w:r>
              <w:rPr>
                <w:rFonts w:ascii="Arial" w:cs="Arial" w:eastAsia="Arial" w:hAnsi="Arial"/>
                <w:sz w:val="20"/>
                <w:szCs w:val="20"/>
              </w:rPr>
              <w:t xml:space="preserve">Pyramid 2 (+25%)</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P2 Ready, P2 Extended</w:t>
            </w:r>
          </w:p>
        </w:tc>
      </w:tr>
      <w:tr>
        <w:tc>
          <w:tcPr>
            <w:tcW w:type="dxa" w:w="1400"/>
          </w:tcPr>
          <w:p>
            <w:pPr>
              <w:spacing w:after="60"/>
            </w:pPr>
            <w:r>
              <w:rPr>
                <w:rFonts w:ascii="Arial" w:cs="Arial" w:eastAsia="Arial" w:hAnsi="Arial"/>
                <w:sz w:val="20"/>
                <w:szCs w:val="20"/>
              </w:rPr>
              <w:t xml:space="preserve">3 → 4</w:t>
            </w:r>
          </w:p>
        </w:tc>
        <w:tc>
          <w:tcPr>
            <w:tcW w:type="dxa" w:w="2600"/>
          </w:tcPr>
          <w:p>
            <w:pPr>
              <w:spacing w:after="60"/>
            </w:pPr>
            <w:r>
              <w:rPr>
                <w:rFonts w:ascii="Arial" w:cs="Arial" w:eastAsia="Arial" w:hAnsi="Arial"/>
                <w:sz w:val="20"/>
                <w:szCs w:val="20"/>
              </w:rPr>
              <w:t xml:space="preserve">TP1 (sell ~33%)</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TP1 Hit, 8-Week Hold</w:t>
            </w:r>
          </w:p>
        </w:tc>
      </w:tr>
      <w:tr>
        <w:tc>
          <w:tcPr>
            <w:tcW w:type="dxa" w:w="1400"/>
          </w:tcPr>
          <w:p>
            <w:pPr>
              <w:spacing w:after="60"/>
            </w:pPr>
            <w:r>
              <w:rPr>
                <w:rFonts w:ascii="Arial" w:cs="Arial" w:eastAsia="Arial" w:hAnsi="Arial"/>
                <w:sz w:val="20"/>
                <w:szCs w:val="20"/>
              </w:rPr>
              <w:t xml:space="preserve">4 → 5</w:t>
            </w:r>
          </w:p>
        </w:tc>
        <w:tc>
          <w:tcPr>
            <w:tcW w:type="dxa" w:w="2600"/>
          </w:tcPr>
          <w:p>
            <w:pPr>
              <w:spacing w:after="60"/>
            </w:pPr>
            <w:r>
              <w:rPr>
                <w:rFonts w:ascii="Arial" w:cs="Arial" w:eastAsia="Arial" w:hAnsi="Arial"/>
                <w:sz w:val="20"/>
                <w:szCs w:val="20"/>
              </w:rPr>
              <w:t xml:space="preserve">TP2 (sell ~50% remaining)</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TP2 Hit</w:t>
            </w:r>
          </w:p>
        </w:tc>
      </w:tr>
      <w:tr>
        <w:tc>
          <w:tcPr>
            <w:tcW w:type="dxa" w:w="1400"/>
          </w:tcPr>
          <w:p>
            <w:pPr>
              <w:spacing w:after="60"/>
            </w:pPr>
            <w:r>
              <w:rPr>
                <w:rFonts w:ascii="Arial" w:cs="Arial" w:eastAsia="Arial" w:hAnsi="Arial"/>
                <w:sz w:val="20"/>
                <w:szCs w:val="20"/>
              </w:rPr>
              <w:t xml:space="preserve">5 → 6</w:t>
            </w:r>
          </w:p>
        </w:tc>
        <w:tc>
          <w:tcPr>
            <w:tcW w:type="dxa" w:w="2600"/>
          </w:tcPr>
          <w:p>
            <w:pPr>
              <w:spacing w:after="60"/>
            </w:pPr>
            <w:r>
              <w:rPr>
                <w:rFonts w:ascii="Arial" w:cs="Arial" w:eastAsia="Arial" w:hAnsi="Arial"/>
                <w:sz w:val="20"/>
                <w:szCs w:val="20"/>
              </w:rPr>
              <w:t xml:space="preserve">Trail remaining shares</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Trailing Stop Set</w:t>
            </w:r>
          </w:p>
        </w:tc>
      </w:tr>
      <w:tr>
        <w:tc>
          <w:tcPr>
            <w:tcW w:type="dxa" w:w="1400"/>
          </w:tcPr>
          <w:p>
            <w:pPr>
              <w:spacing w:after="60"/>
            </w:pPr>
            <w:r>
              <w:rPr>
                <w:rFonts w:ascii="Arial" w:cs="Arial" w:eastAsia="Arial" w:hAnsi="Arial"/>
                <w:sz w:val="20"/>
                <w:szCs w:val="20"/>
              </w:rPr>
              <w:t xml:space="preserve">Any → -2</w:t>
            </w:r>
          </w:p>
        </w:tc>
        <w:tc>
          <w:tcPr>
            <w:tcW w:type="dxa" w:w="2600"/>
          </w:tcPr>
          <w:p>
            <w:pPr>
              <w:spacing w:after="60"/>
            </w:pPr>
            <w:r>
              <w:rPr>
                <w:rFonts w:ascii="Arial" w:cs="Arial" w:eastAsia="Arial" w:hAnsi="Arial"/>
                <w:sz w:val="20"/>
                <w:szCs w:val="20"/>
              </w:rPr>
              <w:t xml:space="preserve">Stop loss hit</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Hard Stop, Stop Warning</w:t>
            </w:r>
          </w:p>
        </w:tc>
      </w:tr>
      <w:tr>
        <w:tc>
          <w:tcPr>
            <w:tcW w:type="dxa" w:w="1400"/>
          </w:tcPr>
          <w:p>
            <w:pPr>
              <w:spacing w:after="60"/>
            </w:pPr>
            <w:r>
              <w:rPr>
                <w:rFonts w:ascii="Arial" w:cs="Arial" w:eastAsia="Arial" w:hAnsi="Arial"/>
                <w:sz w:val="20"/>
                <w:szCs w:val="20"/>
              </w:rPr>
              <w:t xml:space="preserve">Any → -1</w:t>
            </w:r>
          </w:p>
        </w:tc>
        <w:tc>
          <w:tcPr>
            <w:tcW w:type="dxa" w:w="2600"/>
          </w:tcPr>
          <w:p>
            <w:pPr>
              <w:spacing w:after="60"/>
            </w:pPr>
            <w:r>
              <w:rPr>
                <w:rFonts w:ascii="Arial" w:cs="Arial" w:eastAsia="Arial" w:hAnsi="Arial"/>
                <w:sz w:val="20"/>
                <w:szCs w:val="20"/>
              </w:rPr>
              <w:t xml:space="preserve">Final exit (winner)</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50 MA Sell, Climax Top</w:t>
            </w:r>
          </w:p>
        </w:tc>
      </w:tr>
      <w:tr>
        <w:tc>
          <w:tcPr>
            <w:tcW w:type="dxa" w:w="1400"/>
          </w:tcPr>
          <w:p>
            <w:pPr>
              <w:spacing w:after="60"/>
            </w:pPr>
            <w:r>
              <w:rPr>
                <w:rFonts w:ascii="Arial" w:cs="Arial" w:eastAsia="Arial" w:hAnsi="Arial"/>
                <w:sz w:val="20"/>
                <w:szCs w:val="20"/>
              </w:rPr>
              <w:t xml:space="preserve">Any → -1.5</w:t>
            </w:r>
          </w:p>
        </w:tc>
        <w:tc>
          <w:tcPr>
            <w:tcW w:type="dxa" w:w="2600"/>
          </w:tcPr>
          <w:p>
            <w:pPr>
              <w:spacing w:after="60"/>
            </w:pPr>
            <w:r>
              <w:rPr>
                <w:rFonts w:ascii="Arial" w:cs="Arial" w:eastAsia="Arial" w:hAnsi="Arial"/>
                <w:sz w:val="20"/>
                <w:szCs w:val="20"/>
              </w:rPr>
              <w:t xml:space="preserve">Exit to re-entry watch</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MA Bounce, Pivot Retest</w:t>
            </w:r>
          </w:p>
        </w:tc>
      </w:tr>
      <w:tr>
        <w:tc>
          <w:tcPr>
            <w:tcW w:type="dxa" w:w="1400"/>
          </w:tcPr>
          <w:p>
            <w:pPr>
              <w:spacing w:after="60"/>
            </w:pPr>
            <w:r>
              <w:rPr>
                <w:rFonts w:ascii="Arial" w:cs="Arial" w:eastAsia="Arial" w:hAnsi="Arial"/>
                <w:sz w:val="20"/>
                <w:szCs w:val="20"/>
              </w:rPr>
              <w:t xml:space="preserve">-1.5 → 1</w:t>
            </w:r>
          </w:p>
        </w:tc>
        <w:tc>
          <w:tcPr>
            <w:tcW w:type="dxa" w:w="2600"/>
          </w:tcPr>
          <w:p>
            <w:pPr>
              <w:spacing w:after="60"/>
            </w:pPr>
            <w:r>
              <w:rPr>
                <w:rFonts w:ascii="Arial" w:cs="Arial" w:eastAsia="Arial" w:hAnsi="Arial"/>
                <w:sz w:val="20"/>
                <w:szCs w:val="20"/>
              </w:rPr>
              <w:t xml:space="preserve">Re-enter position</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Alt Entry Confirmed</w:t>
            </w:r>
          </w:p>
        </w:tc>
      </w:tr>
      <w:tr>
        <w:tc>
          <w:tcPr>
            <w:tcW w:type="dxa" w:w="1400"/>
          </w:tcPr>
          <w:p>
            <w:pPr>
              <w:spacing w:after="60"/>
            </w:pPr>
            <w:r>
              <w:rPr>
                <w:rFonts w:ascii="Arial" w:cs="Arial" w:eastAsia="Arial" w:hAnsi="Arial"/>
                <w:sz w:val="20"/>
                <w:szCs w:val="20"/>
              </w:rPr>
              <w:t xml:space="preserve">-1.5 → 0</w:t>
            </w:r>
          </w:p>
        </w:tc>
        <w:tc>
          <w:tcPr>
            <w:tcW w:type="dxa" w:w="2600"/>
          </w:tcPr>
          <w:p>
            <w:pPr>
              <w:spacing w:after="60"/>
            </w:pPr>
            <w:r>
              <w:rPr>
                <w:rFonts w:ascii="Arial" w:cs="Arial" w:eastAsia="Arial" w:hAnsi="Arial"/>
                <w:sz w:val="20"/>
                <w:szCs w:val="20"/>
              </w:rPr>
              <w:t xml:space="preserve">New base, back to watchlist</w:t>
            </w:r>
          </w:p>
        </w:tc>
        <w:tc>
          <w:tcPr>
            <w:tcW w:type="dxa" w:w="1200"/>
          </w:tcPr>
          <w:p>
            <w:pPr>
              <w:spacing w:after="60"/>
            </w:pPr>
            <w:r>
              <w:rPr>
                <w:rFonts w:ascii="Arial" w:cs="Arial" w:eastAsia="Arial" w:hAnsi="Arial"/>
                <w:sz w:val="20"/>
                <w:szCs w:val="20"/>
              </w:rPr>
              <w:t xml:space="preserve">Position</w:t>
            </w:r>
          </w:p>
        </w:tc>
        <w:tc>
          <w:tcPr>
            <w:tcW w:type="dxa" w:w="4160"/>
          </w:tcPr>
          <w:p>
            <w:pPr>
              <w:spacing w:after="60"/>
            </w:pPr>
            <w:r>
              <w:rPr>
                <w:rFonts w:ascii="Arial" w:cs="Arial" w:eastAsia="Arial" w:hAnsi="Arial"/>
                <w:sz w:val="20"/>
                <w:szCs w:val="20"/>
              </w:rPr>
              <w:t xml:space="preserve">New Base Forming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6" w:val="clear"/>
            <w:tcMar>
              <w:top w:type="dxa" w:w="120"/>
              <w:left w:type="dxa" w:w="200"/>
              <w:bottom w:type="dxa" w:w="120"/>
              <w:right w:type="dxa" w:w="200"/>
            </w:tcMar>
          </w:tcPr>
          <w:p>
            <w:pPr>
              <w:spacing w:after="120"/>
            </w:pPr>
            <w:r>
              <w:rPr>
                <w:rFonts w:ascii="Arial" w:cs="Arial" w:eastAsia="Arial" w:hAnsi="Arial"/>
                <w:b/>
                <w:bCs/>
                <w:color w:val="2E74B5"/>
                <w:sz w:val="22"/>
                <w:szCs w:val="22"/>
              </w:rPr>
              <w:t xml:space="preserve">The Feedback Loop</w:t>
            </w:r>
          </w:p>
          <w:p>
            <w:pPr>
              <w:spacing w:after="100" w:line="276"/>
            </w:pPr>
            <w:r>
              <w:rPr>
                <w:rFonts w:ascii="Arial" w:cs="Arial" w:eastAsia="Arial" w:hAnsi="Arial"/>
                <w:color w:val="333333"/>
                <w:sz w:val="21"/>
                <w:szCs w:val="21"/>
              </w:rPr>
              <w:t xml:space="preserve">The system is not static. Every outcome you record feeds back into the learning engine, which will eventually analyze factor correlations, identify which setup characteristics most strongly predict success, and propose optimized scoring weights. The trading workflow described in this chapter is not just a process for making money; it is a data collection process for making the system smarter over time. The more disciplined and complete your data entry, the more powerful the learning engine becomes.</w:t>
            </w:r>
          </w:p>
        </w:tc>
      </w:tr>
    </w:tbl>
    <w:p>
      <w:r>
        <w:br w:type="page"/>
      </w:r>
    </w:p>
    <w:p>
      <w:pPr>
        <w:pStyle w:val="Heading1"/>
        <w:spacing w:before="360" w:after="200"/>
      </w:pPr>
      <w:r>
        <w:rPr>
          <w:rFonts w:ascii="Arial" w:cs="Arial" w:eastAsia="Arial" w:hAnsi="Arial"/>
          <w:color w:val="2E74B5"/>
          <w:sz w:val="32"/>
          <w:szCs w:val="32"/>
        </w:rPr>
        <w:t xml:space="preserve">What Comes Next</w:t>
      </w:r>
    </w:p>
    <w:p>
      <w:pPr>
        <w:spacing w:after="200" w:line="276"/>
      </w:pPr>
      <w:r>
        <w:rPr>
          <w:rFonts w:ascii="Arial" w:cs="Arial" w:eastAsia="Arial" w:hAnsi="Arial"/>
          <w:color w:val="333333"/>
          <w:sz w:val="22"/>
          <w:szCs w:val="22"/>
        </w:rPr>
        <w:t xml:space="preserve">Part IV has walked you through the complete trading workflow from the system’s perspective. You now know how to respond to a breakout alert: run the pre-entry checklist, confirm the setup on your own chart, execute the initial 50% position, and record the entry in the GUI. You know how to build the position through the 50/25/25 pyramid structure, adding shares only when the stock confirms the breakout by advancing. You know the offensive sell rules (profit targets, climax top, eight-week hold expiration) and the defensive sell rules (7-8% stop, 50-day MA breakdown, 10-week line violation, market correction). And you know how to close positions, record outcomes for the learning engine, and understand the complete state machine including State 6 (Trailing) for extended winners and State -1.5 (Exited Watch) for re-entry monitoring.</w:t>
      </w:r>
    </w:p>
    <w:p>
      <w:pPr>
        <w:spacing w:after="200" w:line="276"/>
      </w:pPr>
      <w:r>
        <w:rPr>
          <w:rFonts w:ascii="Arial" w:cs="Arial" w:eastAsia="Arial" w:hAnsi="Arial"/>
          <w:color w:val="333333"/>
          <w:sz w:val="22"/>
          <w:szCs w:val="22"/>
        </w:rPr>
        <w:t xml:space="preserve">In Part V, you will learn about the daily and weekly operational routines from a system management perspective: monitoring service health, reviewing alert logs, managing the database, and ensuring the system is running optimally. Part VI covers advanced topics including alternative entry strategies (Shakeout+3, Three Weeks Tight, Moving Average pullbacks) and how the system detects and alerts on these secondary setups.</w:t>
      </w:r>
    </w:p>
    <w:p>
      <w:pPr>
        <w:spacing w:after="200" w:line="276"/>
      </w:pPr>
      <w:r>
        <w:rPr>
          <w:rFonts w:ascii="Arial" w:cs="Arial" w:eastAsia="Arial" w:hAnsi="Arial"/>
          <w:color w:val="333333"/>
          <w:sz w:val="22"/>
          <w:szCs w:val="22"/>
        </w:rPr>
        <w:t xml:space="preserve">Part VII, the final section, covers the learning engine: how it analyzes your historical outcomes, identifies which scoring factors predict success, optimizes the YAML weights, and implements the human-in-the-loop approval process that ensures you review and consent to every configuration change before it takes effect.</w:t>
      </w:r>
    </w:p>
    <w:p>
      <w:pPr>
        <w:spacing w:after="200" w:line="276"/>
      </w:pPr>
      <w:r>
        <w:rPr>
          <w:rFonts w:ascii="Arial" w:cs="Arial" w:eastAsia="Arial" w:hAnsi="Arial"/>
          <w:color w:val="333333"/>
          <w:sz w:val="22"/>
          <w:szCs w:val="22"/>
        </w:rPr>
        <w:t xml:space="preserve">The workflow described in Part IV is the core of your daily trading activity. Every other part of the system exists to support this workflow: the methodology provides the rules, the watchlist provides the candidates, the architecture provides the automation, and the learning engine provides the continuous improvement. Master this workflow, and you have mastered the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CANSLIM Trading System — Part IV: The Complete Trading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color w:val="2E74B5"/>
      <w:sz w:val="32"/>
      <w:szCs w:val="32"/>
    </w:rPr>
  </w:style>
  <w:style w:type="paragraph" w:styleId="Heading2">
    <w:name w:val="Heading 2"/>
    <w:basedOn w:val="Normal"/>
    <w:next w:val="Normal"/>
    <w:qFormat/>
    <w:pPr>
      <w:spacing w:before="300" w:after="180"/>
      <w:outlineLvl w:val="1"/>
    </w:pPr>
    <w:rPr>
      <w:rFonts w:ascii="Arial" w:cs="Arial" w:eastAsia="Arial" w:hAnsi="Arial"/>
      <w:color w:val="2E74B5"/>
      <w:sz w:val="26"/>
      <w:szCs w:val="26"/>
    </w:rPr>
  </w:style>
  <w:style w:type="paragraph" w:styleId="Heading3">
    <w:name w:val="Heading 3"/>
    <w:basedOn w:val="Normal"/>
    <w:next w:val="Normal"/>
    <w:qFormat/>
    <w:pPr>
      <w:spacing w:before="240" w:after="160"/>
      <w:outlineLvl w:val="2"/>
    </w:pPr>
    <w:rPr>
      <w:rFonts w:ascii="Arial" w:cs="Arial" w:eastAsia="Arial" w:hAnsi="Arial"/>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2026-02-08T17:11:54.208Z</dcterms:created>
  <dcterms:modified xsi:type="dcterms:W3CDTF">2026-02-08T17:11:54.209Z</dcterms:modified>
</cp:coreProperties>
</file>

<file path=docProps/custom.xml><?xml version="1.0" encoding="utf-8"?>
<Properties xmlns="http://schemas.openxmlformats.org/officeDocument/2006/custom-properties" xmlns:vt="http://schemas.openxmlformats.org/officeDocument/2006/docPropsVTypes"/>
</file>