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olor w:val="1F4D78"/>
          <w:sz w:val="48"/>
          <w:szCs w:val="48"/>
        </w:rPr>
        <w:t xml:space="preserve">CANSLIM Trading System</w:t>
      </w:r>
    </w:p>
    <w:p>
      <w:pPr>
        <w:spacing w:after="200"/>
        <w:jc w:val="center"/>
      </w:pPr>
      <w:r>
        <w:rPr>
          <w:rFonts w:ascii="Arial" w:cs="Arial" w:eastAsia="Arial" w:hAnsi="Arial"/>
          <w:b/>
          <w:bCs/>
          <w:color w:val="2E74B5"/>
          <w:sz w:val="44"/>
          <w:szCs w:val="44"/>
        </w:rPr>
        <w:t xml:space="preserve">User Guide</w:t>
      </w:r>
    </w:p>
    <w:p>
      <w:pPr>
        <w:spacing w:before="200" w:after="0"/>
      </w:pPr>
    </w:p>
    <w:p>
      <w:pPr>
        <w:jc w:val="center"/>
      </w:pPr>
      <w:r>
        <w:rPr>
          <w:rFonts w:ascii="Arial" w:cs="Arial" w:eastAsia="Arial" w:hAnsi="Arial"/>
          <w:color w:val="2E74B5"/>
          <w:sz w:val="32"/>
          <w:szCs w:val="32"/>
        </w:rPr>
        <w:t xml:space="preserve">Part VIII: Appendices</w:t>
      </w:r>
    </w:p>
    <w:p>
      <w:pPr>
        <w:spacing w:before="100" w:after="0"/>
      </w:pPr>
    </w:p>
    <w:p>
      <w:pPr>
        <w:jc w:val="center"/>
      </w:pPr>
      <w:r>
        <w:rPr>
          <w:rFonts w:ascii="Arial" w:cs="Arial" w:eastAsia="Arial" w:hAnsi="Arial"/>
          <w:color w:val="333333"/>
          <w:sz w:val="26"/>
          <w:szCs w:val="26"/>
        </w:rPr>
        <w:t xml:space="preserve">Appendices A – E</w:t>
      </w:r>
    </w:p>
    <w:p>
      <w:pPr>
        <w:spacing w:before="300" w:after="0"/>
      </w:pPr>
    </w:p>
    <w:p>
      <w:pPr>
        <w:jc w:val="center"/>
      </w:pPr>
      <w:r>
        <w:rPr>
          <w:rFonts w:ascii="Arial" w:cs="Arial" w:eastAsia="Arial" w:hAnsi="Arial"/>
          <w:i/>
          <w:iCs/>
          <w:color w:val="333333"/>
          <w:sz w:val="22"/>
          <w:szCs w:val="22"/>
        </w:rPr>
        <w:t xml:space="preserve">Quick-reference tables, complete catalogs, and glossary for daily use.</w:t>
      </w:r>
    </w:p>
    <w:p>
      <w:r>
        <w:br w:type="page"/>
      </w:r>
    </w:p>
    <w:p>
      <w:pPr>
        <w:pStyle w:val="Heading1"/>
        <w:spacing w:before="360" w:after="200"/>
      </w:pPr>
      <w:r>
        <w:rPr>
          <w:rFonts w:ascii="Arial" w:cs="Arial" w:eastAsia="Arial" w:hAnsi="Arial"/>
          <w:b/>
          <w:bCs/>
          <w:color w:val="1F4D78"/>
          <w:sz w:val="36"/>
          <w:szCs w:val="36"/>
        </w:rPr>
        <w:t xml:space="preserve">Appendix A: Complete Scoring Reference</w:t>
      </w:r>
    </w:p>
    <w:p>
      <w:pPr>
        <w:spacing w:after="200" w:line="276"/>
      </w:pPr>
      <w:r>
        <w:rPr>
          <w:rFonts w:ascii="Arial" w:cs="Arial" w:eastAsia="Arial" w:hAnsi="Arial"/>
          <w:color w:val="333333"/>
          <w:sz w:val="22"/>
          <w:szCs w:val="22"/>
        </w:rPr>
        <w:t xml:space="preserve">This appendix provides the complete scoring rubric used by the CANSLIM Monitor’s ScoringEngine (v2.3). All values are configurable via scoring_config.yaml.</w:t>
      </w:r>
    </w:p>
    <w:p>
      <w:pPr>
        <w:pStyle w:val="Heading2"/>
        <w:spacing w:before="280" w:after="160"/>
      </w:pPr>
      <w:r>
        <w:rPr>
          <w:rFonts w:ascii="Arial" w:cs="Arial" w:eastAsia="Arial" w:hAnsi="Arial"/>
          <w:b/>
          <w:bCs/>
          <w:color w:val="2E74B5"/>
          <w:sz w:val="28"/>
          <w:szCs w:val="28"/>
        </w:rPr>
        <w:t xml:space="preserve">A.1 Pattern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Pattern</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Tier</w:t>
            </w:r>
          </w:p>
        </w:tc>
        <w:tc>
          <w:tcPr>
            <w:tcW w:type="dxa" w:w="39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Cup w/Handle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Highest probability; institutional favorite</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Double Bottom</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W-shaped; second low undercuts first slightly</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Flat Base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Shallow (&lt;15% depth); forms after prior advance</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High Tight Flag</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Rare; 100%+ gain then &lt;25% pullback</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Cup (no Handle)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U-shaped; no handle shakeout</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Ascending Base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Three pullbacks with rising lows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IPO Base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Forms within first 2–3 years of IPO</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Consolidation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Generic tight range; doesn’t fit named patterns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Saucer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Slow, rounded bottom over many months</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Saucer w/Handle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Saucer with handle shakeout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3 Weeks Tight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Alternative entry; weekly closes within 1.5%</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Shakeout +3</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w:t>
            </w:r>
          </w:p>
        </w:tc>
        <w:tc>
          <w:tcPr>
            <w:tcW w:type="dxa" w:w="3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Alternative entry; first low + 10%</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Unrecognized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Default for patterns not in canonical list</w:t>
            </w:r>
          </w:p>
        </w:tc>
      </w:tr>
    </w:tbl>
    <w:p>
      <w:pPr>
        <w:spacing w:before="80" w:after="0"/>
      </w:pPr>
    </w:p>
    <w:p>
      <w:pPr>
        <w:pStyle w:val="Heading2"/>
        <w:spacing w:before="280" w:after="160"/>
      </w:pPr>
      <w:r>
        <w:rPr>
          <w:rFonts w:ascii="Arial" w:cs="Arial" w:eastAsia="Arial" w:hAnsi="Arial"/>
          <w:b/>
          <w:bCs/>
          <w:color w:val="2E74B5"/>
          <w:sz w:val="28"/>
          <w:szCs w:val="28"/>
        </w:rPr>
        <w:t xml:space="preserve">A.2 Stage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Stage</w:t>
            </w:r>
          </w:p>
        </w:tc>
        <w:tc>
          <w:tcPr>
            <w:tcW w:type="dxa" w:w="15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Adjustment</w:t>
            </w:r>
          </w:p>
        </w:tc>
        <w:tc>
          <w:tcPr>
            <w:tcW w:type="dxa" w:w="25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Success Rate</w:t>
            </w:r>
          </w:p>
        </w:tc>
        <w:tc>
          <w:tcPr>
            <w:tcW w:type="dxa" w:w="33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Guidance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Stage 1</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0 (none)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~70%</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Best odds; full position size</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Stage 2</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~55%</w:t>
            </w:r>
          </w:p>
        </w:tc>
        <w:tc>
          <w:tcPr>
            <w:tcW w:type="dxa" w:w="33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Still good; normal position size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Stage 3</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~30%</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Elevated risk; reduce position size</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Stage 4+</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~15%</w:t>
            </w:r>
          </w:p>
        </w:tc>
        <w:tc>
          <w:tcPr>
            <w:tcW w:type="dxa" w:w="33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High risk; consider passing entirely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Base-on-Base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 bonus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Resets effectively</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Base forming atop prior base; favorable</w:t>
            </w:r>
          </w:p>
        </w:tc>
      </w:tr>
    </w:tbl>
    <w:p>
      <w:pPr>
        <w:spacing w:before="80" w:after="0"/>
      </w:pPr>
    </w:p>
    <w:p>
      <w:pPr>
        <w:pStyle w:val="Heading2"/>
        <w:spacing w:before="280" w:after="160"/>
      </w:pPr>
      <w:r>
        <w:rPr>
          <w:rFonts w:ascii="Arial" w:cs="Arial" w:eastAsia="Arial" w:hAnsi="Arial"/>
          <w:b/>
          <w:bCs/>
          <w:color w:val="2E74B5"/>
          <w:sz w:val="28"/>
          <w:szCs w:val="28"/>
        </w:rPr>
        <w:t xml:space="preserve">A.3 RS Rating Floor Rule</w:t>
      </w:r>
    </w:p>
    <w:p>
      <w:pPr>
        <w:spacing w:after="200" w:line="276"/>
      </w:pPr>
      <w:r>
        <w:rPr>
          <w:rFonts w:ascii="Arial" w:cs="Arial" w:eastAsia="Arial" w:hAnsi="Arial"/>
          <w:color w:val="333333"/>
          <w:sz w:val="22"/>
          <w:szCs w:val="22"/>
        </w:rPr>
        <w:t xml:space="preserve">Any stock with an RS Rating below 70 is capped at a maximum grade of C, regardless of total score. This rule is immutable—the learning engine cannot override it. Data shows 0% success rate below RS 70 and 75% success rate above RS 90.</w:t>
      </w:r>
    </w:p>
    <w:p>
      <w:pPr>
        <w:pStyle w:val="Heading2"/>
        <w:spacing w:before="280" w:after="160"/>
      </w:pPr>
      <w:r>
        <w:rPr>
          <w:rFonts w:ascii="Arial" w:cs="Arial" w:eastAsia="Arial" w:hAnsi="Arial"/>
          <w:b/>
          <w:bCs/>
          <w:color w:val="2E74B5"/>
          <w:sz w:val="28"/>
          <w:szCs w:val="28"/>
        </w:rPr>
        <w:t xml:space="preserve">A.4 Grade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A+</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A</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B+</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B</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D</w:t>
            </w:r>
          </w:p>
        </w:tc>
        <w:tc>
          <w:tcPr>
            <w:tcW w:type="dxa" w:w="117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F</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≥20</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≥12</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≥9</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≥3</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&lt;3</w:t>
            </w:r>
          </w:p>
        </w:tc>
      </w:tr>
    </w:tbl>
    <w:p>
      <w:pPr>
        <w:spacing w:before="80" w:after="0"/>
      </w:pPr>
    </w:p>
    <w:p>
      <w:r>
        <w:br w:type="page"/>
      </w:r>
    </w:p>
    <w:p>
      <w:pPr>
        <w:pStyle w:val="Heading1"/>
        <w:spacing w:before="360" w:after="200"/>
      </w:pPr>
      <w:r>
        <w:rPr>
          <w:rFonts w:ascii="Arial" w:cs="Arial" w:eastAsia="Arial" w:hAnsi="Arial"/>
          <w:b/>
          <w:bCs/>
          <w:color w:val="1F4D78"/>
          <w:sz w:val="36"/>
          <w:szCs w:val="36"/>
        </w:rPr>
        <w:t xml:space="preserve">Appendix B: Alert Type Catalog</w:t>
      </w:r>
    </w:p>
    <w:p>
      <w:pPr>
        <w:spacing w:after="200" w:line="276"/>
      </w:pPr>
      <w:r>
        <w:rPr>
          <w:rFonts w:ascii="Arial" w:cs="Arial" w:eastAsia="Arial" w:hAnsi="Arial"/>
          <w:color w:val="333333"/>
          <w:sz w:val="22"/>
          <w:szCs w:val="22"/>
        </w:rPr>
        <w:t xml:space="preserve">Complete catalog of all alert types generated by the CANSLIM Monitor. Each entry includes the Discord color, emoji, recommended action, and default cooldown.</w:t>
      </w:r>
    </w:p>
    <w:p>
      <w:pPr>
        <w:pStyle w:val="Heading2"/>
        <w:spacing w:before="280" w:after="160"/>
      </w:pPr>
      <w:r>
        <w:rPr>
          <w:rFonts w:ascii="Arial" w:cs="Arial" w:eastAsia="Arial" w:hAnsi="Arial"/>
          <w:b/>
          <w:bCs/>
          <w:color w:val="2E74B5"/>
          <w:sz w:val="28"/>
          <w:szCs w:val="28"/>
        </w:rPr>
        <w:t xml:space="preserve">B.1 Breakout Alerts (Watchlist →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2960"/>
        <w:gridCol w:w="1400"/>
        <w:gridCol w:w="1400"/>
      </w:tblGrid>
      <w:tr>
        <w:tc>
          <w:tcPr>
            <w:tcW w:type="dxa" w:w="16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Subtype</w:t>
            </w:r>
          </w:p>
        </w:tc>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Emoji</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Color</w:t>
            </w:r>
          </w:p>
        </w:tc>
        <w:tc>
          <w:tcPr>
            <w:tcW w:type="dxa" w:w="29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Recommended Action</w:t>
            </w:r>
          </w:p>
        </w:tc>
        <w:tc>
          <w:tcPr>
            <w:tcW w:type="dxa" w:w="14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Cooldown</w:t>
            </w:r>
          </w:p>
        </w:tc>
        <w:tc>
          <w:tcPr>
            <w:tcW w:type="dxa" w:w="14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CONFIRMED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Green</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Buy initial 50% position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60 min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SUPPRESSED</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Lt Green</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Wait for volume confirmation</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60 min</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IN_BUY_ZONE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Yellow</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Evaluate for entry; check volume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60 min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APPROACHING</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Blue</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Prepare buy order; review setup</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60 min</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EXTENDED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Do not chase; wait for pullback</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60 min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bl>
    <w:p>
      <w:pPr>
        <w:spacing w:before="80" w:after="0"/>
      </w:pPr>
    </w:p>
    <w:p>
      <w:pPr>
        <w:pStyle w:val="Heading2"/>
        <w:spacing w:before="280" w:after="160"/>
      </w:pPr>
      <w:r>
        <w:rPr>
          <w:rFonts w:ascii="Arial" w:cs="Arial" w:eastAsia="Arial" w:hAnsi="Arial"/>
          <w:b/>
          <w:bCs/>
          <w:color w:val="2E74B5"/>
          <w:sz w:val="28"/>
          <w:szCs w:val="28"/>
        </w:rPr>
        <w:t xml:space="preserve">B.2 Position Management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2960"/>
        <w:gridCol w:w="1200"/>
        <w:gridCol w:w="1400"/>
      </w:tblGrid>
      <w:tr>
        <w:tc>
          <w:tcPr>
            <w:tcW w:type="dxa" w:w="1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Type.Subtype</w:t>
            </w:r>
          </w:p>
        </w:tc>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Emoji</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Color</w:t>
            </w:r>
          </w:p>
        </w:tc>
        <w:tc>
          <w:tcPr>
            <w:tcW w:type="dxa" w:w="29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Recommended Action</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Cooldown</w:t>
            </w:r>
          </w:p>
        </w:tc>
        <w:tc>
          <w:tcPr>
            <w:tcW w:type="dxa" w:w="14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PYRAMID.P1_READY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Blue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Add 25–30% to position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4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PYRAMID.P2_READY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Blue</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Add final 20–25%</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4 hr</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PROFIT.TP1</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Gold</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Sell 1/3 of position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PROFIT.TP2</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Gold</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Sell another 1/3; raise stop</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PROFIT.8_WEEK_HOLD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Gold</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Hold through 8-week rule; suppress TP1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Weekly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STOP.HARD_STOP</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SELL IMMEDIATELY — no hesitation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STOP.WARNING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Orange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Prepare sell order; monitor closely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STOP.TRAILING_STOP</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SELL — trailing stop triggered</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bl>
    <w:p>
      <w:pPr>
        <w:spacing w:before="80" w:after="0"/>
      </w:pPr>
    </w:p>
    <w:p>
      <w:pPr>
        <w:pStyle w:val="Heading2"/>
        <w:spacing w:before="280" w:after="160"/>
      </w:pPr>
      <w:r>
        <w:rPr>
          <w:rFonts w:ascii="Arial" w:cs="Arial" w:eastAsia="Arial" w:hAnsi="Arial"/>
          <w:b/>
          <w:bCs/>
          <w:color w:val="2E74B5"/>
          <w:sz w:val="28"/>
          <w:szCs w:val="28"/>
        </w:rPr>
        <w:t xml:space="preserve">B.3 Technical &amp; Health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2960"/>
        <w:gridCol w:w="1000"/>
        <w:gridCol w:w="1400"/>
      </w:tblGrid>
      <w:tr>
        <w:tc>
          <w:tcPr>
            <w:tcW w:type="dxa" w:w="2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Type.Subtype</w:t>
            </w:r>
          </w:p>
        </w:tc>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Emoji</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Color</w:t>
            </w:r>
          </w:p>
        </w:tc>
        <w:tc>
          <w:tcPr>
            <w:tcW w:type="dxa" w:w="29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Recommended Action</w:t>
            </w:r>
          </w:p>
        </w:tc>
        <w:tc>
          <w:tcPr>
            <w:tcW w:type="dxa" w:w="1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Cooldown</w:t>
            </w:r>
          </w:p>
        </w:tc>
        <w:tc>
          <w:tcPr>
            <w:tcW w:type="dxa" w:w="14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TECH.50_MA_WARNING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Orange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Monitor; tighten mental stop</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TECH.50_MA_SELL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Sell if closes below on heavy volume</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TECH.21_EMA_SELL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Purple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Sell if 2 consecutive closes below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TECH.10_WEEK_SELL</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Sell on weekly close below 10-week</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Weekly</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TECH.CLIMAX_TOP</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Sell into strength; exhaustion signal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HEALTH.WARNING</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Orange</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Review position; assess conditions</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 hr</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HEALTH.CRITICAL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Red</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Immediate review; likely exit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 hr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HEALTH.EARNINGS</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Orange</w:t>
            </w:r>
          </w:p>
        </w:tc>
        <w:tc>
          <w:tcPr>
            <w:tcW w:type="dxa" w:w="29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Plan earnings strategy (hold/sell)</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HEALTH.LATE_STAGE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Orange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Reduce position size expectations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Weekly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P2</w:t>
            </w:r>
          </w:p>
        </w:tc>
      </w:tr>
    </w:tbl>
    <w:p>
      <w:pPr>
        <w:spacing w:before="80" w:after="0"/>
      </w:pPr>
    </w:p>
    <w:p>
      <w:pPr>
        <w:pStyle w:val="Heading2"/>
        <w:spacing w:before="280" w:after="160"/>
      </w:pPr>
      <w:r>
        <w:rPr>
          <w:rFonts w:ascii="Arial" w:cs="Arial" w:eastAsia="Arial" w:hAnsi="Arial"/>
          <w:b/>
          <w:bCs/>
          <w:color w:val="2E74B5"/>
          <w:sz w:val="28"/>
          <w:szCs w:val="28"/>
        </w:rPr>
        <w:t xml:space="preserve">B.4 Market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3160"/>
        <w:gridCol w:w="1000"/>
        <w:gridCol w:w="1000"/>
      </w:tblGrid>
      <w:tr>
        <w:tc>
          <w:tcPr>
            <w:tcW w:type="dxa" w:w="2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Type.Subtype</w:t>
            </w:r>
          </w:p>
        </w:tc>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Emoji</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Color</w:t>
            </w:r>
          </w:p>
        </w:tc>
        <w:tc>
          <w:tcPr>
            <w:tcW w:type="dxa" w:w="31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Recommended Action</w:t>
            </w:r>
          </w:p>
        </w:tc>
        <w:tc>
          <w:tcPr>
            <w:tcW w:type="dxa" w:w="1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Cooldown</w:t>
            </w:r>
          </w:p>
        </w:tc>
        <w:tc>
          <w:tcPr>
            <w:tcW w:type="dxa" w:w="1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MARKET.REGIME_CHANGE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Royal Blue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Adjust exposure per IBD exposure model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MARKET.FTD</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Royal Blue</w:t>
            </w:r>
          </w:p>
        </w:tc>
        <w:tc>
          <w:tcPr>
            <w:tcW w:type="dxa" w:w="3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Green light for new entries; begin buying</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MARKET.CORRECTION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Royal Blue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HALT new purchases; raise cash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MARKET.WEAK</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Royal Blue</w:t>
            </w:r>
          </w:p>
        </w:tc>
        <w:tc>
          <w:tcPr>
            <w:tcW w:type="dxa" w:w="3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Reduce exposure; tighten stops</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24 hr</w:t>
            </w:r>
          </w:p>
        </w:tc>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MARKET.RALLY_ATTEMPT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Royal Blue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Watch for FTD; build watchlist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P1</w:t>
            </w:r>
          </w:p>
        </w:tc>
      </w:tr>
    </w:tbl>
    <w:p>
      <w:pPr>
        <w:spacing w:before="80" w:after="0"/>
      </w:pPr>
    </w:p>
    <w:p>
      <w:pPr>
        <w:pStyle w:val="Heading2"/>
        <w:spacing w:before="280" w:after="160"/>
      </w:pPr>
      <w:r>
        <w:rPr>
          <w:rFonts w:ascii="Arial" w:cs="Arial" w:eastAsia="Arial" w:hAnsi="Arial"/>
          <w:b/>
          <w:bCs/>
          <w:color w:val="2E74B5"/>
          <w:sz w:val="28"/>
          <w:szCs w:val="28"/>
        </w:rPr>
        <w:t xml:space="preserve">B.5 Alternative Entry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3560"/>
        <w:gridCol w:w="1600"/>
      </w:tblGrid>
      <w:tr>
        <w:tc>
          <w:tcPr>
            <w:tcW w:type="dxa" w:w="2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Subtype</w:t>
            </w:r>
          </w:p>
        </w:tc>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Emoji</w:t>
            </w:r>
          </w:p>
        </w:tc>
        <w:tc>
          <w:tcPr>
            <w:tcW w:type="dxa" w:w="12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Color</w:t>
            </w:r>
          </w:p>
        </w:tc>
        <w:tc>
          <w:tcPr>
            <w:tcW w:type="dxa" w:w="35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Recommended Action</w:t>
            </w:r>
          </w:p>
        </w:tc>
        <w:tc>
          <w:tcPr>
            <w:tcW w:type="dxa" w:w="16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Cooldown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MA_BOUNCE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Blue</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Enter on bounce from 50 MA with volume confirm</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4 hr</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PIVOT_RETEST</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Blue</w:t>
            </w:r>
          </w:p>
        </w:tc>
        <w:tc>
          <w:tcPr>
            <w:tcW w:type="dxa" w:w="3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Enter if pivot holds as support on bounce</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4 hr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CONFLUENCE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Blue</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Enter at zone; stop 1–2% below lowest support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4 hr</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SHAKEOUT_3</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Blue</w:t>
            </w:r>
          </w:p>
        </w:tc>
        <w:tc>
          <w:tcPr>
            <w:tcW w:type="dxa" w:w="3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Half-size pilot position; aggressive entry</w:t>
            </w:r>
          </w:p>
        </w:tc>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4 hr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THREE_WEEKS_TIGHT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Blue</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Enter on break above pattern high + volume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Weekly</w:t>
            </w:r>
          </w:p>
        </w:tc>
      </w:tr>
    </w:tbl>
    <w:p>
      <w:r>
        <w:br w:type="page"/>
      </w:r>
    </w:p>
    <w:p>
      <w:pPr>
        <w:pStyle w:val="Heading1"/>
        <w:spacing w:before="360" w:after="200"/>
      </w:pPr>
      <w:r>
        <w:rPr>
          <w:rFonts w:ascii="Arial" w:cs="Arial" w:eastAsia="Arial" w:hAnsi="Arial"/>
          <w:b/>
          <w:bCs/>
          <w:color w:val="1F4D78"/>
          <w:sz w:val="36"/>
          <w:szCs w:val="36"/>
        </w:rPr>
        <w:t xml:space="preserve">Appendix C: Position State Machine</w:t>
      </w:r>
    </w:p>
    <w:p>
      <w:pPr>
        <w:spacing w:after="200" w:line="276"/>
      </w:pPr>
      <w:r>
        <w:rPr>
          <w:rFonts w:ascii="Arial" w:cs="Arial" w:eastAsia="Arial" w:hAnsi="Arial"/>
          <w:color w:val="333333"/>
          <w:sz w:val="22"/>
          <w:szCs w:val="22"/>
        </w:rPr>
        <w:t xml:space="preserve">Every position in the CANSLIM Monitor follows a defined state machine from initial watchlist entry through the complete trade lifecycle to closure. States are stored as numeric values in the database and displayed as descriptive labels in the GUI.</w:t>
      </w:r>
    </w:p>
    <w:p>
      <w:pPr>
        <w:pStyle w:val="Heading2"/>
        <w:spacing w:before="280" w:after="160"/>
      </w:pPr>
      <w:r>
        <w:rPr>
          <w:rFonts w:ascii="Arial" w:cs="Arial" w:eastAsia="Arial" w:hAnsi="Arial"/>
          <w:b/>
          <w:bCs/>
          <w:color w:val="2E74B5"/>
          <w:sz w:val="28"/>
          <w:szCs w:val="28"/>
        </w:rPr>
        <w:t xml:space="preserve">C.1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160"/>
        <w:gridCol w:w="2400"/>
      </w:tblGrid>
      <w:tr>
        <w:tc>
          <w:tcPr>
            <w:tcW w:type="dxa" w:w="8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State</w:t>
            </w:r>
          </w:p>
        </w:tc>
        <w:tc>
          <w:tcPr>
            <w:tcW w:type="dxa" w:w="2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41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Kanban Column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Watching</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On watchlist; no position. System monitors for breakout.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Watch List</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0.1</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Approaching</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Within 2% of pivot; alerts generated.</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Watch List</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0.2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 Buy Zone</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Between pivot and pivot + 5%; actionable.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Watch List</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0.3</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Extended</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5–7% above pivot; do not chase.</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Watch List</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Entry 1</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50% position entered.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Active</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Entry 2 (P1)</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First pyramid added; ~75% invested.</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Active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Entry 3 (P2)</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Second pyramid; full position (100%).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Active</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TP1 Hit</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First profit target reached; sold 1/3.</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Profit Taking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TP2 Hit</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Second profit target; sold another 1/3.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Profit Taking</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Trailing</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Remaining shares on trailing stop.</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Profit Taking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Closed (Profit)</w:t>
            </w:r>
          </w:p>
        </w:tc>
        <w:tc>
          <w:tcPr>
            <w:tcW w:type="dxa" w:w="4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All shares sold at profit.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Closed</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Stopped Out</w:t>
            </w:r>
          </w:p>
        </w:tc>
        <w:tc>
          <w:tcPr>
            <w:tcW w:type="dxa" w:w="41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Hard stop or trailing stop triggered.</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Closed</w:t>
            </w:r>
          </w:p>
        </w:tc>
      </w:tr>
    </w:tbl>
    <w:p>
      <w:pPr>
        <w:spacing w:before="80" w:after="0"/>
      </w:pPr>
    </w:p>
    <w:p>
      <w:pPr>
        <w:pStyle w:val="Heading2"/>
        <w:spacing w:before="280" w:after="160"/>
      </w:pPr>
      <w:r>
        <w:rPr>
          <w:rFonts w:ascii="Arial" w:cs="Arial" w:eastAsia="Arial" w:hAnsi="Arial"/>
          <w:b/>
          <w:bCs/>
          <w:color w:val="2E74B5"/>
          <w:sz w:val="28"/>
          <w:szCs w:val="28"/>
        </w:rPr>
        <w:t xml:space="preserve">C.2 State Transitions</w:t>
      </w:r>
    </w:p>
    <w:p>
      <w:pPr>
        <w:spacing w:after="200" w:line="276"/>
      </w:pPr>
      <w:r>
        <w:rPr>
          <w:rFonts w:ascii="Arial" w:cs="Arial" w:eastAsia="Arial" w:hAnsi="Arial"/>
          <w:color w:val="333333"/>
          <w:sz w:val="22"/>
          <w:szCs w:val="22"/>
        </w:rPr>
        <w:t xml:space="preserve">Valid state transitions follow these paths:</w:t>
      </w:r>
    </w:p>
    <w:p>
      <w:pPr>
        <w:spacing w:after="200" w:line="276"/>
      </w:pPr>
      <w:r>
        <w:rPr>
          <w:rFonts w:ascii="Arial" w:cs="Arial" w:eastAsia="Arial" w:hAnsi="Arial"/>
          <w:color w:val="333333"/>
          <w:sz w:val="22"/>
          <w:szCs w:val="22"/>
        </w:rPr>
        <w:t xml:space="preserve">Forward (normal progression): 0 → 0.1 → 0.2 → 1 → 2 → 3 → 4 → 5 → 6 → −1</w:t>
      </w:r>
    </w:p>
    <w:p>
      <w:pPr>
        <w:spacing w:after="200" w:line="276"/>
      </w:pPr>
      <w:r>
        <w:rPr>
          <w:rFonts w:ascii="Arial" w:cs="Arial" w:eastAsia="Arial" w:hAnsi="Arial"/>
          <w:color w:val="333333"/>
          <w:sz w:val="22"/>
          <w:szCs w:val="22"/>
        </w:rPr>
        <w:t xml:space="preserve">Stop exits (from any active state): States 1–6 → −2</w:t>
      </w:r>
    </w:p>
    <w:p>
      <w:pPr>
        <w:spacing w:after="200" w:line="276"/>
      </w:pPr>
      <w:r>
        <w:rPr>
          <w:rFonts w:ascii="Arial" w:cs="Arial" w:eastAsia="Arial" w:hAnsi="Arial"/>
          <w:color w:val="333333"/>
          <w:sz w:val="22"/>
          <w:szCs w:val="22"/>
        </w:rPr>
        <w:t xml:space="preserve">Manual close (from any active state): States 1–6 → −1</w:t>
      </w:r>
    </w:p>
    <w:p>
      <w:pPr>
        <w:spacing w:after="200" w:line="276"/>
      </w:pPr>
      <w:r>
        <w:rPr>
          <w:rFonts w:ascii="Arial" w:cs="Arial" w:eastAsia="Arial" w:hAnsi="Arial"/>
          <w:color w:val="333333"/>
          <w:sz w:val="22"/>
          <w:szCs w:val="22"/>
        </w:rPr>
        <w:t xml:space="preserve">Skip states (common): 0 → 1 (direct entry without substates), 1 → 4 (TP1 without pyramids), 3 → −2 (stopped at full position)</w:t>
      </w:r>
    </w:p>
    <w:p>
      <w:pPr>
        <w:spacing w:after="200" w:line="276"/>
      </w:pPr>
      <w:r>
        <w:rPr>
          <w:rFonts w:ascii="Arial" w:cs="Arial" w:eastAsia="Arial" w:hAnsi="Arial"/>
          <w:color w:val="333333"/>
          <w:sz w:val="22"/>
          <w:szCs w:val="22"/>
        </w:rPr>
        <w:t xml:space="preserve">Watchlist removal: 0 (any substate) → removed from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Key Design Principle</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States only move forward or to closed. A position never moves backward (e.g., from State 4 back to State 3).</w:t>
            </w:r>
          </w:p>
          <w:p>
            <w:pPr>
              <w:spacing w:after="80" w:line="260"/>
            </w:pPr>
            <w:r>
              <w:rPr>
                <w:rFonts w:ascii="Arial" w:cs="Arial" w:eastAsia="Arial" w:hAnsi="Arial"/>
                <w:color w:val="333333"/>
                <w:sz w:val="20"/>
                <w:szCs w:val="20"/>
              </w:rPr>
              <w:t xml:space="preserve">The only exceptions are watchlist substates (0.1, 0.2, 0.3) which can cycle as price moves around the pivot.</w:t>
            </w:r>
          </w:p>
          <w:p>
            <w:pPr>
              <w:spacing w:after="80" w:line="260"/>
            </w:pPr>
            <w:r>
              <w:rPr>
                <w:rFonts w:ascii="Arial" w:cs="Arial" w:eastAsia="Arial" w:hAnsi="Arial"/>
                <w:color w:val="333333"/>
                <w:sz w:val="20"/>
                <w:szCs w:val="20"/>
              </w:rPr>
              <w:t xml:space="preserve">Every state transition is logged to the alerts table for audit and learning engine analysis.</w:t>
            </w:r>
          </w:p>
        </w:tc>
      </w:tr>
    </w:tbl>
    <w:p>
      <w:r>
        <w:br w:type="page"/>
      </w:r>
    </w:p>
    <w:p>
      <w:pPr>
        <w:pStyle w:val="Heading1"/>
        <w:spacing w:before="360" w:after="200"/>
      </w:pPr>
      <w:r>
        <w:rPr>
          <w:rFonts w:ascii="Arial" w:cs="Arial" w:eastAsia="Arial" w:hAnsi="Arial"/>
          <w:b/>
          <w:bCs/>
          <w:color w:val="1F4D78"/>
          <w:sz w:val="36"/>
          <w:szCs w:val="36"/>
        </w:rPr>
        <w:t xml:space="preserve">Appendix D: Configuration Templates</w:t>
      </w:r>
    </w:p>
    <w:p>
      <w:pPr>
        <w:spacing w:after="200" w:line="276"/>
      </w:pPr>
      <w:r>
        <w:rPr>
          <w:rFonts w:ascii="Arial" w:cs="Arial" w:eastAsia="Arial" w:hAnsi="Arial"/>
          <w:color w:val="333333"/>
          <w:sz w:val="22"/>
          <w:szCs w:val="22"/>
        </w:rPr>
        <w:t xml:space="preserve">These templates provide starting points for common trading profiles. Copy the relevant sections into your user_config.yaml and adjust as needed.</w:t>
      </w:r>
    </w:p>
    <w:p>
      <w:pPr>
        <w:pStyle w:val="Heading2"/>
        <w:spacing w:before="280" w:after="160"/>
      </w:pPr>
      <w:r>
        <w:rPr>
          <w:rFonts w:ascii="Arial" w:cs="Arial" w:eastAsia="Arial" w:hAnsi="Arial"/>
          <w:b/>
          <w:bCs/>
          <w:color w:val="2E74B5"/>
          <w:sz w:val="28"/>
          <w:szCs w:val="28"/>
        </w:rPr>
        <w:t xml:space="preserve">D.1 Conservative Trader (Lower Risk)</w:t>
      </w:r>
    </w:p>
    <w:p>
      <w:pPr>
        <w:spacing w:after="200" w:line="276"/>
      </w:pPr>
      <w:r>
        <w:rPr>
          <w:rFonts w:ascii="Arial" w:cs="Arial" w:eastAsia="Arial" w:hAnsi="Arial"/>
          <w:color w:val="333333"/>
          <w:sz w:val="22"/>
          <w:szCs w:val="22"/>
        </w:rPr>
        <w:t xml:space="preserve">For traders who prioritize capital preservation. Higher grade requirements, wider stops avoided, focus on Stage 1–2 bases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Setting</w:t>
            </w:r>
          </w:p>
        </w:tc>
        <w:tc>
          <w:tcPr>
            <w:tcW w:type="dxa" w:w="25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Conservative Value</w:t>
            </w:r>
          </w:p>
        </w:tc>
        <w:tc>
          <w:tcPr>
            <w:tcW w:type="dxa" w:w="28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Default Value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alerts.breakout.min_alert_grade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B</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alerts.breakout.volume_threshold_confirmed</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1.6</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1.4</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position_monitoring.stop_loss.base_pct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6.0</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7.0</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position_sizing.max_position_pct</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8.0</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10.0</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scoring.rs_floor</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80</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70</w:t>
            </w:r>
          </w:p>
        </w:tc>
      </w:tr>
    </w:tbl>
    <w:p>
      <w:pPr>
        <w:spacing w:before="80" w:after="0"/>
      </w:pPr>
    </w:p>
    <w:p>
      <w:pPr>
        <w:pStyle w:val="Heading2"/>
        <w:spacing w:before="280" w:after="160"/>
      </w:pPr>
      <w:r>
        <w:rPr>
          <w:rFonts w:ascii="Arial" w:cs="Arial" w:eastAsia="Arial" w:hAnsi="Arial"/>
          <w:b/>
          <w:bCs/>
          <w:color w:val="2E74B5"/>
          <w:sz w:val="28"/>
          <w:szCs w:val="28"/>
        </w:rPr>
        <w:t xml:space="preserve">D.2 Aggressive Trader (Higher Risk)</w:t>
      </w:r>
    </w:p>
    <w:p>
      <w:pPr>
        <w:spacing w:after="200" w:line="276"/>
      </w:pPr>
      <w:r>
        <w:rPr>
          <w:rFonts w:ascii="Arial" w:cs="Arial" w:eastAsia="Arial" w:hAnsi="Arial"/>
          <w:color w:val="333333"/>
          <w:sz w:val="22"/>
          <w:szCs w:val="22"/>
        </w:rPr>
        <w:t xml:space="preserve">For experienced traders comfortable with higher volatility. Lower grade floors allow more setups, alternative entries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Setting</w:t>
            </w:r>
          </w:p>
        </w:tc>
        <w:tc>
          <w:tcPr>
            <w:tcW w:type="dxa" w:w="25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Aggressive Value</w:t>
            </w:r>
          </w:p>
        </w:tc>
        <w:tc>
          <w:tcPr>
            <w:tcW w:type="dxa" w:w="28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Default Value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alerts.breakout.min_alert_grade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D</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alerts.breakout.volume_threshold_buy_zone</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0.0</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0.0</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position_monitoring.stop_loss.base_pct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8.0</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7.0</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position_sizing.max_position_pct</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15.0</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10.0</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alerts.alt_entry (all enabled)</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Enabled</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Enabled</w:t>
            </w:r>
          </w:p>
        </w:tc>
      </w:tr>
    </w:tbl>
    <w:p>
      <w:pPr>
        <w:spacing w:before="80" w:after="0"/>
      </w:pPr>
    </w:p>
    <w:p>
      <w:pPr>
        <w:pStyle w:val="Heading2"/>
        <w:spacing w:before="280" w:after="160"/>
      </w:pPr>
      <w:r>
        <w:rPr>
          <w:rFonts w:ascii="Arial" w:cs="Arial" w:eastAsia="Arial" w:hAnsi="Arial"/>
          <w:b/>
          <w:bCs/>
          <w:color w:val="2E74B5"/>
          <w:sz w:val="28"/>
          <w:szCs w:val="28"/>
        </w:rPr>
        <w:t xml:space="preserve">D.3 Part-Time Trader (Away During Market)</w:t>
      </w:r>
    </w:p>
    <w:p>
      <w:pPr>
        <w:spacing w:after="200" w:line="276"/>
      </w:pPr>
      <w:r>
        <w:rPr>
          <w:rFonts w:ascii="Arial" w:cs="Arial" w:eastAsia="Arial" w:hAnsi="Arial"/>
          <w:color w:val="333333"/>
          <w:sz w:val="22"/>
          <w:szCs w:val="22"/>
        </w:rPr>
        <w:t xml:space="preserve">For traders who cannot watch the market during hours. Relies on bracketed orders and after-hours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Setting</w:t>
            </w:r>
          </w:p>
        </w:tc>
        <w:tc>
          <w:tcPr>
            <w:tcW w:type="dxa" w:w="250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Part-Time Value</w:t>
            </w:r>
          </w:p>
        </w:tc>
        <w:tc>
          <w:tcPr>
            <w:tcW w:type="dxa" w:w="2860"/>
            <w:tcBorders>
              <w:top w:val="single" w:color="CCCCCC" w:sz="1"/>
              <w:left w:val="single" w:color="CCCCCC" w:sz="1"/>
              <w:bottom w:val="single" w:color="CCCCCC" w:sz="1"/>
              <w:right w:val="single" w:color="CCCCCC" w:sz="1"/>
            </w:tcBorders>
            <w:shd w:fill="1F4D78" w:val="clear"/>
            <w:tcMar>
              <w:top w:type="dxa" w:w="50"/>
              <w:left w:type="dxa" w:w="80"/>
              <w:bottom w:type="dxa" w:w="50"/>
              <w:right w:type="dxa" w:w="80"/>
            </w:tcMar>
          </w:tcPr>
          <w:p>
            <w:r>
              <w:rPr>
                <w:rFonts w:ascii="Arial" w:cs="Arial" w:eastAsia="Arial" w:hAnsi="Arial"/>
                <w:b/>
                <w:bCs/>
                <w:color w:val="FFFFFF"/>
                <w:sz w:val="18"/>
                <w:szCs w:val="18"/>
              </w:rPr>
              <w:t xml:space="preserve">Default Value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alerts.breakout.volume_threshold_buy_zone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0.0</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alerts.breakout.volume_threshold_approaching</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0.8</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0.0</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cooldowns.stop_warning</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60</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120</w:t>
            </w:r>
          </w:p>
        </w:tc>
      </w:tr>
      <w:tr>
        <w:tc>
          <w:tcPr>
            <w:tcW w:type="dxa" w:w="4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cooldowns.pyramid</w:t>
            </w:r>
          </w:p>
        </w:tc>
        <w:tc>
          <w:tcPr>
            <w:tcW w:type="dxa" w:w="2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480</w:t>
            </w:r>
          </w:p>
        </w:tc>
        <w:tc>
          <w:tcPr>
            <w:tcW w:type="dxa" w:w="28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333333"/>
                <w:sz w:val="18"/>
                <w:szCs w:val="18"/>
              </w:rPr>
              <w:t xml:space="preserve">240</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service.market_hours_only</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true</w:t>
            </w:r>
          </w:p>
        </w:tc>
        <w:tc>
          <w:tcPr>
            <w:tcW w:type="dxa" w:w="28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true</w:t>
            </w:r>
          </w:p>
        </w:tc>
      </w:tr>
    </w:tbl>
    <w:p>
      <w:r>
        <w:br w:type="page"/>
      </w:r>
    </w:p>
    <w:p>
      <w:pPr>
        <w:pStyle w:val="Heading1"/>
        <w:spacing w:before="360" w:after="200"/>
      </w:pPr>
      <w:r>
        <w:rPr>
          <w:rFonts w:ascii="Arial" w:cs="Arial" w:eastAsia="Arial" w:hAnsi="Arial"/>
          <w:b/>
          <w:bCs/>
          <w:color w:val="1F4D78"/>
          <w:sz w:val="36"/>
          <w:szCs w:val="36"/>
        </w:rPr>
        <w:t xml:space="preserve">Appendix E: Glossary of Terms</w:t>
      </w:r>
    </w:p>
    <w:p>
      <w:pPr>
        <w:spacing w:after="200" w:line="276"/>
      </w:pPr>
      <w:r>
        <w:rPr>
          <w:rFonts w:ascii="Arial" w:cs="Arial" w:eastAsia="Arial" w:hAnsi="Arial"/>
          <w:color w:val="333333"/>
          <w:sz w:val="22"/>
          <w:szCs w:val="22"/>
        </w:rPr>
        <w:t xml:space="preserve">Definitions of all CANSLIM methodology terms and system-specific terminology used throughout this guide.</w:t>
      </w:r>
    </w:p>
    <w:p>
      <w:pPr>
        <w:spacing w:before="80" w:after="0"/>
      </w:pPr>
    </w:p>
    <w:p>
      <w:pPr>
        <w:spacing w:after="160" w:line="260"/>
      </w:pPr>
      <w:r>
        <w:rPr>
          <w:rFonts w:ascii="Arial" w:cs="Arial" w:eastAsia="Arial" w:hAnsi="Arial"/>
          <w:b/>
          <w:bCs/>
          <w:color w:val="1F4D78"/>
          <w:sz w:val="22"/>
          <w:szCs w:val="22"/>
        </w:rPr>
        <w:t xml:space="preserve">A/D Rating  —  </w:t>
      </w:r>
      <w:r>
        <w:rPr>
          <w:rFonts w:ascii="Arial" w:cs="Arial" w:eastAsia="Arial" w:hAnsi="Arial"/>
          <w:color w:val="333333"/>
          <w:sz w:val="22"/>
          <w:szCs w:val="22"/>
        </w:rPr>
        <w:t xml:space="preserve">Accumulation/Distribution rating from MarketSurge (A through E). Measures institutional buying versus selling pressure. A–B indicates net accumulation; D–E indicates net distribution.</w:t>
      </w:r>
    </w:p>
    <w:p>
      <w:pPr>
        <w:spacing w:after="160" w:line="260"/>
      </w:pPr>
      <w:r>
        <w:rPr>
          <w:rFonts w:ascii="Arial" w:cs="Arial" w:eastAsia="Arial" w:hAnsi="Arial"/>
          <w:b/>
          <w:bCs/>
          <w:color w:val="1F4D78"/>
          <w:sz w:val="22"/>
          <w:szCs w:val="22"/>
        </w:rPr>
        <w:t xml:space="preserve">Ascending Base  —  </w:t>
      </w:r>
      <w:r>
        <w:rPr>
          <w:rFonts w:ascii="Arial" w:cs="Arial" w:eastAsia="Arial" w:hAnsi="Arial"/>
          <w:color w:val="333333"/>
          <w:sz w:val="22"/>
          <w:szCs w:val="22"/>
        </w:rPr>
        <w:t xml:space="preserve">A base pattern with three pullbacks, each making a higher low. Requires a 12–20% correction from the prior high over at least 9–16 weeks.</w:t>
      </w:r>
    </w:p>
    <w:p>
      <w:pPr>
        <w:spacing w:after="160" w:line="260"/>
      </w:pPr>
      <w:r>
        <w:rPr>
          <w:rFonts w:ascii="Arial" w:cs="Arial" w:eastAsia="Arial" w:hAnsi="Arial"/>
          <w:b/>
          <w:bCs/>
          <w:color w:val="1F4D78"/>
          <w:sz w:val="22"/>
          <w:szCs w:val="22"/>
        </w:rPr>
        <w:t xml:space="preserve">Base  —  </w:t>
      </w:r>
      <w:r>
        <w:rPr>
          <w:rFonts w:ascii="Arial" w:cs="Arial" w:eastAsia="Arial" w:hAnsi="Arial"/>
          <w:color w:val="333333"/>
          <w:sz w:val="22"/>
          <w:szCs w:val="22"/>
        </w:rPr>
        <w:t xml:space="preserve">A period of price consolidation following an advance. The foundation for the next breakout. Minimum length is typically five weeks for most patterns.</w:t>
      </w:r>
    </w:p>
    <w:p>
      <w:pPr>
        <w:spacing w:after="160" w:line="260"/>
      </w:pPr>
      <w:r>
        <w:rPr>
          <w:rFonts w:ascii="Arial" w:cs="Arial" w:eastAsia="Arial" w:hAnsi="Arial"/>
          <w:b/>
          <w:bCs/>
          <w:color w:val="1F4D78"/>
          <w:sz w:val="22"/>
          <w:szCs w:val="22"/>
        </w:rPr>
        <w:t xml:space="preserve">Base Depth  —  </w:t>
      </w:r>
      <w:r>
        <w:rPr>
          <w:rFonts w:ascii="Arial" w:cs="Arial" w:eastAsia="Arial" w:hAnsi="Arial"/>
          <w:color w:val="333333"/>
          <w:sz w:val="22"/>
          <w:szCs w:val="22"/>
        </w:rPr>
        <w:t xml:space="preserve">The percentage decline from the base’s high point to its low point. Normal depth is 12–33%. Deeper than 35% is concerning; shallower than 15% is a flat base.</w:t>
      </w:r>
    </w:p>
    <w:p>
      <w:pPr>
        <w:spacing w:after="160" w:line="260"/>
      </w:pPr>
      <w:r>
        <w:rPr>
          <w:rFonts w:ascii="Arial" w:cs="Arial" w:eastAsia="Arial" w:hAnsi="Arial"/>
          <w:b/>
          <w:bCs/>
          <w:color w:val="1F4D78"/>
          <w:sz w:val="22"/>
          <w:szCs w:val="22"/>
        </w:rPr>
        <w:t xml:space="preserve">Base Stage  —  </w:t>
      </w:r>
      <w:r>
        <w:rPr>
          <w:rFonts w:ascii="Arial" w:cs="Arial" w:eastAsia="Arial" w:hAnsi="Arial"/>
          <w:color w:val="333333"/>
          <w:sz w:val="22"/>
          <w:szCs w:val="22"/>
        </w:rPr>
        <w:t xml:space="preserve">The count of how many bases a stock has formed during its current price cycle. Stage 1–2 bases have the highest success rates. Stage 3+ carries elevated risk.</w:t>
      </w:r>
    </w:p>
    <w:p>
      <w:pPr>
        <w:spacing w:after="160" w:line="260"/>
      </w:pPr>
      <w:r>
        <w:rPr>
          <w:rFonts w:ascii="Arial" w:cs="Arial" w:eastAsia="Arial" w:hAnsi="Arial"/>
          <w:b/>
          <w:bCs/>
          <w:color w:val="1F4D78"/>
          <w:sz w:val="22"/>
          <w:szCs w:val="22"/>
        </w:rPr>
        <w:t xml:space="preserve">Bollinger Band Position  —  </w:t>
      </w:r>
      <w:r>
        <w:rPr>
          <w:rFonts w:ascii="Arial" w:cs="Arial" w:eastAsia="Arial" w:hAnsi="Arial"/>
          <w:color w:val="333333"/>
          <w:sz w:val="22"/>
          <w:szCs w:val="22"/>
        </w:rPr>
        <w:t xml:space="preserve">A value from 0 to 1 indicating where price sits within its Bollinger Bands. 0 = lower band, 0.5 = middle, 1 = upper band. Used in swing trading criteria.</w:t>
      </w:r>
    </w:p>
    <w:p>
      <w:pPr>
        <w:spacing w:after="160" w:line="260"/>
      </w:pPr>
      <w:r>
        <w:rPr>
          <w:rFonts w:ascii="Arial" w:cs="Arial" w:eastAsia="Arial" w:hAnsi="Arial"/>
          <w:b/>
          <w:bCs/>
          <w:color w:val="1F4D78"/>
          <w:sz w:val="22"/>
          <w:szCs w:val="22"/>
        </w:rPr>
        <w:t xml:space="preserve">Breakout  —  </w:t>
      </w:r>
      <w:r>
        <w:rPr>
          <w:rFonts w:ascii="Arial" w:cs="Arial" w:eastAsia="Arial" w:hAnsi="Arial"/>
          <w:color w:val="333333"/>
          <w:sz w:val="22"/>
          <w:szCs w:val="22"/>
        </w:rPr>
        <w:t xml:space="preserve">When a stock’s price rises above its pivot point on above-average volume, signaling institutional demand and the start of a new advance.</w:t>
      </w:r>
    </w:p>
    <w:p>
      <w:pPr>
        <w:spacing w:after="160" w:line="260"/>
      </w:pPr>
      <w:r>
        <w:rPr>
          <w:rFonts w:ascii="Arial" w:cs="Arial" w:eastAsia="Arial" w:hAnsi="Arial"/>
          <w:b/>
          <w:bCs/>
          <w:color w:val="1F4D78"/>
          <w:sz w:val="22"/>
          <w:szCs w:val="22"/>
        </w:rPr>
        <w:t xml:space="preserve">Buy Zone  —  </w:t>
      </w:r>
      <w:r>
        <w:rPr>
          <w:rFonts w:ascii="Arial" w:cs="Arial" w:eastAsia="Arial" w:hAnsi="Arial"/>
          <w:color w:val="333333"/>
          <w:sz w:val="22"/>
          <w:szCs w:val="22"/>
        </w:rPr>
        <w:t xml:space="preserve">The range from the pivot point to approximately 5% above it. Purchases within this zone carry acceptable risk. Above 5% is considered chasing.</w:t>
      </w:r>
    </w:p>
    <w:p>
      <w:pPr>
        <w:spacing w:after="160" w:line="260"/>
      </w:pPr>
      <w:r>
        <w:rPr>
          <w:rFonts w:ascii="Arial" w:cs="Arial" w:eastAsia="Arial" w:hAnsi="Arial"/>
          <w:b/>
          <w:bCs/>
          <w:color w:val="1F4D78"/>
          <w:sz w:val="22"/>
          <w:szCs w:val="22"/>
        </w:rPr>
        <w:t xml:space="preserve">CANSLIM  —  </w:t>
      </w:r>
      <w:r>
        <w:rPr>
          <w:rFonts w:ascii="Arial" w:cs="Arial" w:eastAsia="Arial" w:hAnsi="Arial"/>
          <w:color w:val="333333"/>
          <w:sz w:val="22"/>
          <w:szCs w:val="22"/>
        </w:rPr>
        <w:t xml:space="preserve">William O’Neil’s growth stock investing methodology. C=Current earnings, A=Annual earnings, N=New products/highs, S=Supply/demand, L=Leader, I=Institutional sponsorship, M=Market direction.</w:t>
      </w:r>
    </w:p>
    <w:p>
      <w:pPr>
        <w:spacing w:after="160" w:line="260"/>
      </w:pPr>
      <w:r>
        <w:rPr>
          <w:rFonts w:ascii="Arial" w:cs="Arial" w:eastAsia="Arial" w:hAnsi="Arial"/>
          <w:b/>
          <w:bCs/>
          <w:color w:val="1F4D78"/>
          <w:sz w:val="22"/>
          <w:szCs w:val="22"/>
        </w:rPr>
        <w:t xml:space="preserve">Climax Top  —  </w:t>
      </w:r>
      <w:r>
        <w:rPr>
          <w:rFonts w:ascii="Arial" w:cs="Arial" w:eastAsia="Arial" w:hAnsi="Arial"/>
          <w:color w:val="333333"/>
          <w:sz w:val="22"/>
          <w:szCs w:val="22"/>
        </w:rPr>
        <w:t xml:space="preserve">An exhaustion signal where a stock advances rapidly on heavy volume after an extended run, often marking a significant top.</w:t>
      </w:r>
    </w:p>
    <w:p>
      <w:pPr>
        <w:spacing w:after="160" w:line="260"/>
      </w:pPr>
      <w:r>
        <w:rPr>
          <w:rFonts w:ascii="Arial" w:cs="Arial" w:eastAsia="Arial" w:hAnsi="Arial"/>
          <w:b/>
          <w:bCs/>
          <w:color w:val="1F4D78"/>
          <w:sz w:val="22"/>
          <w:szCs w:val="22"/>
        </w:rPr>
        <w:t xml:space="preserve">Confluence Zone  —  </w:t>
      </w:r>
      <w:r>
        <w:rPr>
          <w:rFonts w:ascii="Arial" w:cs="Arial" w:eastAsia="Arial" w:hAnsi="Arial"/>
          <w:color w:val="333333"/>
          <w:sz w:val="22"/>
          <w:szCs w:val="22"/>
        </w:rPr>
        <w:t xml:space="preserve">An area where three or more support levels (moving averages, prior pivots, trend lines) converge within a 2% range, creating strong support.</w:t>
      </w:r>
    </w:p>
    <w:p>
      <w:pPr>
        <w:spacing w:after="160" w:line="260"/>
      </w:pPr>
      <w:r>
        <w:rPr>
          <w:rFonts w:ascii="Arial" w:cs="Arial" w:eastAsia="Arial" w:hAnsi="Arial"/>
          <w:b/>
          <w:bCs/>
          <w:color w:val="1F4D78"/>
          <w:sz w:val="22"/>
          <w:szCs w:val="22"/>
        </w:rPr>
        <w:t xml:space="preserve">Cup with Handle  —  </w:t>
      </w:r>
      <w:r>
        <w:rPr>
          <w:rFonts w:ascii="Arial" w:cs="Arial" w:eastAsia="Arial" w:hAnsi="Arial"/>
          <w:color w:val="333333"/>
          <w:sz w:val="22"/>
          <w:szCs w:val="22"/>
        </w:rPr>
        <w:t xml:space="preserve">The most common and reliable base pattern. A U-shaped cup (7–65 weeks) followed by a short downward drift (the handle, 1–4 weeks).</w:t>
      </w:r>
    </w:p>
    <w:p>
      <w:pPr>
        <w:spacing w:after="160" w:line="260"/>
      </w:pPr>
      <w:r>
        <w:rPr>
          <w:rFonts w:ascii="Arial" w:cs="Arial" w:eastAsia="Arial" w:hAnsi="Arial"/>
          <w:b/>
          <w:bCs/>
          <w:color w:val="1F4D78"/>
          <w:sz w:val="22"/>
          <w:szCs w:val="22"/>
        </w:rPr>
        <w:t xml:space="preserve">Distribution Day  —  </w:t>
      </w:r>
      <w:r>
        <w:rPr>
          <w:rFonts w:ascii="Arial" w:cs="Arial" w:eastAsia="Arial" w:hAnsi="Arial"/>
          <w:color w:val="333333"/>
          <w:sz w:val="22"/>
          <w:szCs w:val="22"/>
        </w:rPr>
        <w:t xml:space="preserve">A day when a major index falls 0.2% or more on higher volume than the previous day. Indicates institutional selling. Five or more within 25 days signals trouble.</w:t>
      </w:r>
    </w:p>
    <w:p>
      <w:pPr>
        <w:spacing w:after="160" w:line="260"/>
      </w:pPr>
      <w:r>
        <w:rPr>
          <w:rFonts w:ascii="Arial" w:cs="Arial" w:eastAsia="Arial" w:hAnsi="Arial"/>
          <w:b/>
          <w:bCs/>
          <w:color w:val="1F4D78"/>
          <w:sz w:val="22"/>
          <w:szCs w:val="22"/>
        </w:rPr>
        <w:t xml:space="preserve">Double Bottom  —  </w:t>
      </w:r>
      <w:r>
        <w:rPr>
          <w:rFonts w:ascii="Arial" w:cs="Arial" w:eastAsia="Arial" w:hAnsi="Arial"/>
          <w:color w:val="333333"/>
          <w:sz w:val="22"/>
          <w:szCs w:val="22"/>
        </w:rPr>
        <w:t xml:space="preserve">A W-shaped base pattern where the stock makes two distinct lows, with the second low typically undercutting the first by 1–3%.</w:t>
      </w:r>
    </w:p>
    <w:p>
      <w:pPr>
        <w:spacing w:after="160" w:line="260"/>
      </w:pPr>
      <w:r>
        <w:rPr>
          <w:rFonts w:ascii="Arial" w:cs="Arial" w:eastAsia="Arial" w:hAnsi="Arial"/>
          <w:b/>
          <w:bCs/>
          <w:color w:val="1F4D78"/>
          <w:sz w:val="22"/>
          <w:szCs w:val="22"/>
        </w:rPr>
        <w:t xml:space="preserve">Dynamic Factors  —  </w:t>
      </w:r>
      <w:r>
        <w:rPr>
          <w:rFonts w:ascii="Arial" w:cs="Arial" w:eastAsia="Arial" w:hAnsi="Arial"/>
          <w:color w:val="333333"/>
          <w:sz w:val="22"/>
          <w:szCs w:val="22"/>
        </w:rPr>
        <w:t xml:space="preserve">Scoring components calculated from real-time technical data: up/down volume ratio, 50-MA position, support bounces, RS trend, and volume dry-up.</w:t>
      </w:r>
    </w:p>
    <w:p>
      <w:pPr>
        <w:spacing w:after="160" w:line="260"/>
      </w:pPr>
      <w:r>
        <w:rPr>
          <w:rFonts w:ascii="Arial" w:cs="Arial" w:eastAsia="Arial" w:hAnsi="Arial"/>
          <w:b/>
          <w:bCs/>
          <w:color w:val="1F4D78"/>
          <w:sz w:val="22"/>
          <w:szCs w:val="22"/>
        </w:rPr>
        <w:t xml:space="preserve">Eight-Week Hold Rule  —  </w:t>
      </w:r>
      <w:r>
        <w:rPr>
          <w:rFonts w:ascii="Arial" w:cs="Arial" w:eastAsia="Arial" w:hAnsi="Arial"/>
          <w:color w:val="333333"/>
          <w:sz w:val="22"/>
          <w:szCs w:val="22"/>
        </w:rPr>
        <w:t xml:space="preserve">When a stock gains 20% or more within three weeks of breakout, hold for a minimum of eight weeks from the breakout date before selling.</w:t>
      </w:r>
    </w:p>
    <w:p>
      <w:pPr>
        <w:spacing w:after="160" w:line="260"/>
      </w:pPr>
      <w:r>
        <w:rPr>
          <w:rFonts w:ascii="Arial" w:cs="Arial" w:eastAsia="Arial" w:hAnsi="Arial"/>
          <w:b/>
          <w:bCs/>
          <w:color w:val="1F4D78"/>
          <w:sz w:val="22"/>
          <w:szCs w:val="22"/>
        </w:rPr>
        <w:t xml:space="preserve">EPS Rating  —  </w:t>
      </w:r>
      <w:r>
        <w:rPr>
          <w:rFonts w:ascii="Arial" w:cs="Arial" w:eastAsia="Arial" w:hAnsi="Arial"/>
          <w:color w:val="333333"/>
          <w:sz w:val="22"/>
          <w:szCs w:val="22"/>
        </w:rPr>
        <w:t xml:space="preserve">Earnings Per Share rating from MarketSurge (1–99). Measures a company’s earnings growth versus all other stocks.</w:t>
      </w:r>
    </w:p>
    <w:p>
      <w:pPr>
        <w:spacing w:after="160" w:line="260"/>
      </w:pPr>
      <w:r>
        <w:rPr>
          <w:rFonts w:ascii="Arial" w:cs="Arial" w:eastAsia="Arial" w:hAnsi="Arial"/>
          <w:b/>
          <w:bCs/>
          <w:color w:val="1F4D78"/>
          <w:sz w:val="22"/>
          <w:szCs w:val="22"/>
        </w:rPr>
        <w:t xml:space="preserve">Flat Base  —  </w:t>
      </w:r>
      <w:r>
        <w:rPr>
          <w:rFonts w:ascii="Arial" w:cs="Arial" w:eastAsia="Arial" w:hAnsi="Arial"/>
          <w:color w:val="333333"/>
          <w:sz w:val="22"/>
          <w:szCs w:val="22"/>
        </w:rPr>
        <w:t xml:space="preserve">A base pattern with less than 15% depth, formed during a market correction or after a prior advance. Minimum five weeks. Signals strength.</w:t>
      </w:r>
    </w:p>
    <w:p>
      <w:pPr>
        <w:spacing w:after="160" w:line="260"/>
      </w:pPr>
      <w:r>
        <w:rPr>
          <w:rFonts w:ascii="Arial" w:cs="Arial" w:eastAsia="Arial" w:hAnsi="Arial"/>
          <w:b/>
          <w:bCs/>
          <w:color w:val="1F4D78"/>
          <w:sz w:val="22"/>
          <w:szCs w:val="22"/>
        </w:rPr>
        <w:t xml:space="preserve">Follow-Through Day (FTD)  —  </w:t>
      </w:r>
      <w:r>
        <w:rPr>
          <w:rFonts w:ascii="Arial" w:cs="Arial" w:eastAsia="Arial" w:hAnsi="Arial"/>
          <w:color w:val="333333"/>
          <w:sz w:val="22"/>
          <w:szCs w:val="22"/>
        </w:rPr>
        <w:t xml:space="preserve">A day (Day 4 or later of a rally attempt) when a major index gains 1.25% or more on volume higher than the previous day. Signals a potential new uptrend.</w:t>
      </w:r>
    </w:p>
    <w:p>
      <w:pPr>
        <w:spacing w:after="160" w:line="260"/>
      </w:pPr>
      <w:r>
        <w:rPr>
          <w:rFonts w:ascii="Arial" w:cs="Arial" w:eastAsia="Arial" w:hAnsi="Arial"/>
          <w:b/>
          <w:bCs/>
          <w:color w:val="1F4D78"/>
          <w:sz w:val="22"/>
          <w:szCs w:val="22"/>
        </w:rPr>
        <w:t xml:space="preserve">Grade  —  </w:t>
      </w:r>
      <w:r>
        <w:rPr>
          <w:rFonts w:ascii="Arial" w:cs="Arial" w:eastAsia="Arial" w:hAnsi="Arial"/>
          <w:color w:val="333333"/>
          <w:sz w:val="22"/>
          <w:szCs w:val="22"/>
        </w:rPr>
        <w:t xml:space="preserve">The letter grade (A+ through F) assigned by the scoring engine based on the total score from static and dynamic factors.</w:t>
      </w:r>
    </w:p>
    <w:p>
      <w:pPr>
        <w:spacing w:after="160" w:line="260"/>
      </w:pPr>
      <w:r>
        <w:rPr>
          <w:rFonts w:ascii="Arial" w:cs="Arial" w:eastAsia="Arial" w:hAnsi="Arial"/>
          <w:b/>
          <w:bCs/>
          <w:color w:val="1F4D78"/>
          <w:sz w:val="22"/>
          <w:szCs w:val="22"/>
        </w:rPr>
        <w:t xml:space="preserve">Handle  —  </w:t>
      </w:r>
      <w:r>
        <w:rPr>
          <w:rFonts w:ascii="Arial" w:cs="Arial" w:eastAsia="Arial" w:hAnsi="Arial"/>
          <w:color w:val="333333"/>
          <w:sz w:val="22"/>
          <w:szCs w:val="22"/>
        </w:rPr>
        <w:t xml:space="preserve">A short consolidation on the right side of a cup pattern. Should drift downward, last 1–4 weeks, and show declining volume.</w:t>
      </w:r>
    </w:p>
    <w:p>
      <w:pPr>
        <w:spacing w:after="160" w:line="260"/>
      </w:pPr>
      <w:r>
        <w:rPr>
          <w:rFonts w:ascii="Arial" w:cs="Arial" w:eastAsia="Arial" w:hAnsi="Arial"/>
          <w:b/>
          <w:bCs/>
          <w:color w:val="1F4D78"/>
          <w:sz w:val="22"/>
          <w:szCs w:val="22"/>
        </w:rPr>
        <w:t xml:space="preserve">Hot Reload  —  </w:t>
      </w:r>
      <w:r>
        <w:rPr>
          <w:rFonts w:ascii="Arial" w:cs="Arial" w:eastAsia="Arial" w:hAnsi="Arial"/>
          <w:color w:val="333333"/>
          <w:sz w:val="22"/>
          <w:szCs w:val="22"/>
        </w:rPr>
        <w:t xml:space="preserve">The ability to apply configuration changes without restarting the Windows service, triggered via IPC command.</w:t>
      </w:r>
    </w:p>
    <w:p>
      <w:pPr>
        <w:spacing w:after="160" w:line="260"/>
      </w:pPr>
      <w:r>
        <w:rPr>
          <w:rFonts w:ascii="Arial" w:cs="Arial" w:eastAsia="Arial" w:hAnsi="Arial"/>
          <w:b/>
          <w:bCs/>
          <w:color w:val="1F4D78"/>
          <w:sz w:val="22"/>
          <w:szCs w:val="22"/>
        </w:rPr>
        <w:t xml:space="preserve">IBD  —  </w:t>
      </w:r>
      <w:r>
        <w:rPr>
          <w:rFonts w:ascii="Arial" w:cs="Arial" w:eastAsia="Arial" w:hAnsi="Arial"/>
          <w:color w:val="333333"/>
          <w:sz w:val="22"/>
          <w:szCs w:val="22"/>
        </w:rPr>
        <w:t xml:space="preserve">Investor’s Business Daily, the financial media company founded by William O’Neil that publishes the research and data used in CANSLIM methodology.</w:t>
      </w:r>
    </w:p>
    <w:p>
      <w:pPr>
        <w:spacing w:after="160" w:line="260"/>
      </w:pPr>
      <w:r>
        <w:rPr>
          <w:rFonts w:ascii="Arial" w:cs="Arial" w:eastAsia="Arial" w:hAnsi="Arial"/>
          <w:b/>
          <w:bCs/>
          <w:color w:val="1F4D78"/>
          <w:sz w:val="22"/>
          <w:szCs w:val="22"/>
        </w:rPr>
        <w:t xml:space="preserve">Immutable Rule  —  </w:t>
      </w:r>
      <w:r>
        <w:rPr>
          <w:rFonts w:ascii="Arial" w:cs="Arial" w:eastAsia="Arial" w:hAnsi="Arial"/>
          <w:color w:val="333333"/>
          <w:sz w:val="22"/>
          <w:szCs w:val="22"/>
        </w:rPr>
        <w:t xml:space="preserve">A scoring or trading rule that cannot be overridden by the learning engine. Examples: RS Rating floor, maximum loss limit.</w:t>
      </w:r>
    </w:p>
    <w:p>
      <w:pPr>
        <w:spacing w:after="160" w:line="260"/>
      </w:pPr>
      <w:r>
        <w:rPr>
          <w:rFonts w:ascii="Arial" w:cs="Arial" w:eastAsia="Arial" w:hAnsi="Arial"/>
          <w:b/>
          <w:bCs/>
          <w:color w:val="1F4D78"/>
          <w:sz w:val="22"/>
          <w:szCs w:val="22"/>
        </w:rPr>
        <w:t xml:space="preserve">IPC  —  </w:t>
      </w:r>
      <w:r>
        <w:rPr>
          <w:rFonts w:ascii="Arial" w:cs="Arial" w:eastAsia="Arial" w:hAnsi="Arial"/>
          <w:color w:val="333333"/>
          <w:sz w:val="22"/>
          <w:szCs w:val="22"/>
        </w:rPr>
        <w:t xml:space="preserve">Inter-Process Communication. The mechanism by which the GUI communicates with the background Windows service.</w:t>
      </w:r>
    </w:p>
    <w:p>
      <w:pPr>
        <w:spacing w:after="160" w:line="260"/>
      </w:pPr>
      <w:r>
        <w:rPr>
          <w:rFonts w:ascii="Arial" w:cs="Arial" w:eastAsia="Arial" w:hAnsi="Arial"/>
          <w:b/>
          <w:bCs/>
          <w:color w:val="1F4D78"/>
          <w:sz w:val="22"/>
          <w:szCs w:val="22"/>
        </w:rPr>
        <w:t xml:space="preserve">Kanban Board  —  </w:t>
      </w:r>
      <w:r>
        <w:rPr>
          <w:rFonts w:ascii="Arial" w:cs="Arial" w:eastAsia="Arial" w:hAnsi="Arial"/>
          <w:color w:val="333333"/>
          <w:sz w:val="22"/>
          <w:szCs w:val="22"/>
        </w:rPr>
        <w:t xml:space="preserve">The GUI’s main interface, displaying positions as cards organized in columns by state (Watch List, Active, Profit Taking, Closed).</w:t>
      </w:r>
    </w:p>
    <w:p>
      <w:pPr>
        <w:spacing w:after="160" w:line="260"/>
      </w:pPr>
      <w:r>
        <w:rPr>
          <w:rFonts w:ascii="Arial" w:cs="Arial" w:eastAsia="Arial" w:hAnsi="Arial"/>
          <w:b/>
          <w:bCs/>
          <w:color w:val="1F4D78"/>
          <w:sz w:val="22"/>
          <w:szCs w:val="22"/>
        </w:rPr>
        <w:t xml:space="preserve">Learning Engine  —  </w:t>
      </w:r>
      <w:r>
        <w:rPr>
          <w:rFonts w:ascii="Arial" w:cs="Arial" w:eastAsia="Arial" w:hAnsi="Arial"/>
          <w:color w:val="333333"/>
          <w:sz w:val="22"/>
          <w:szCs w:val="22"/>
        </w:rPr>
        <w:t xml:space="preserve">The machine learning component (Phase 7) that analyzes trade outcomes using Ridge regression to optimize scoring weights.</w:t>
      </w:r>
    </w:p>
    <w:p>
      <w:pPr>
        <w:spacing w:after="160" w:line="260"/>
      </w:pPr>
      <w:r>
        <w:rPr>
          <w:rFonts w:ascii="Arial" w:cs="Arial" w:eastAsia="Arial" w:hAnsi="Arial"/>
          <w:b/>
          <w:bCs/>
          <w:color w:val="1F4D78"/>
          <w:sz w:val="22"/>
          <w:szCs w:val="22"/>
        </w:rPr>
        <w:t xml:space="preserve">Market Regime  —  </w:t>
      </w:r>
      <w:r>
        <w:rPr>
          <w:rFonts w:ascii="Arial" w:cs="Arial" w:eastAsia="Arial" w:hAnsi="Arial"/>
          <w:color w:val="333333"/>
          <w:sz w:val="22"/>
          <w:szCs w:val="22"/>
        </w:rPr>
        <w:t xml:space="preserve">The current classification of overall market conditions: BULLISH (Confirmed Uptrend), NEUTRAL (Uptrend Under Pressure), or BEARISH (Market in Correction).</w:t>
      </w:r>
    </w:p>
    <w:p>
      <w:pPr>
        <w:spacing w:after="160" w:line="260"/>
      </w:pPr>
      <w:r>
        <w:rPr>
          <w:rFonts w:ascii="Arial" w:cs="Arial" w:eastAsia="Arial" w:hAnsi="Arial"/>
          <w:b/>
          <w:bCs/>
          <w:color w:val="1F4D78"/>
          <w:sz w:val="22"/>
          <w:szCs w:val="22"/>
        </w:rPr>
        <w:t xml:space="preserve">MarketSurge  —  </w:t>
      </w:r>
      <w:r>
        <w:rPr>
          <w:rFonts w:ascii="Arial" w:cs="Arial" w:eastAsia="Arial" w:hAnsi="Arial"/>
          <w:color w:val="333333"/>
          <w:sz w:val="22"/>
          <w:szCs w:val="22"/>
        </w:rPr>
        <w:t xml:space="preserve">IBD’s stock screening and charting platform (formerly MarketSmith). Primary source for fundamental data and base pattern identification.</w:t>
      </w:r>
    </w:p>
    <w:p>
      <w:pPr>
        <w:spacing w:after="160" w:line="260"/>
      </w:pPr>
      <w:r>
        <w:rPr>
          <w:rFonts w:ascii="Arial" w:cs="Arial" w:eastAsia="Arial" w:hAnsi="Arial"/>
          <w:b/>
          <w:bCs/>
          <w:color w:val="1F4D78"/>
          <w:sz w:val="22"/>
          <w:szCs w:val="22"/>
        </w:rPr>
        <w:t xml:space="preserve">Moving Average  —  </w:t>
      </w:r>
      <w:r>
        <w:rPr>
          <w:rFonts w:ascii="Arial" w:cs="Arial" w:eastAsia="Arial" w:hAnsi="Arial"/>
          <w:color w:val="333333"/>
          <w:sz w:val="22"/>
          <w:szCs w:val="22"/>
        </w:rPr>
        <w:t xml:space="preserve">A smoothed price line calculated over a specific period. Key levels: 21-day EMA (short-term), 50-day SMA (intermediate), 200-day SMA (long-term), 10-week MA (weekly).</w:t>
      </w:r>
    </w:p>
    <w:p>
      <w:pPr>
        <w:spacing w:after="160" w:line="260"/>
      </w:pPr>
      <w:r>
        <w:rPr>
          <w:rFonts w:ascii="Arial" w:cs="Arial" w:eastAsia="Arial" w:hAnsi="Arial"/>
          <w:b/>
          <w:bCs/>
          <w:color w:val="1F4D78"/>
          <w:sz w:val="22"/>
          <w:szCs w:val="22"/>
        </w:rPr>
        <w:t xml:space="preserve">Pivot Point  —  </w:t>
      </w:r>
      <w:r>
        <w:rPr>
          <w:rFonts w:ascii="Arial" w:cs="Arial" w:eastAsia="Arial" w:hAnsi="Arial"/>
          <w:color w:val="333333"/>
          <w:sz w:val="22"/>
          <w:szCs w:val="22"/>
        </w:rPr>
        <w:t xml:space="preserve">The price level at which a stock breaks out of its base. Calculated as the highest point in the formation plus ten cents.</w:t>
      </w:r>
    </w:p>
    <w:p>
      <w:pPr>
        <w:spacing w:after="160" w:line="260"/>
      </w:pPr>
      <w:r>
        <w:rPr>
          <w:rFonts w:ascii="Arial" w:cs="Arial" w:eastAsia="Arial" w:hAnsi="Arial"/>
          <w:b/>
          <w:bCs/>
          <w:color w:val="1F4D78"/>
          <w:sz w:val="22"/>
          <w:szCs w:val="22"/>
        </w:rPr>
        <w:t xml:space="preserve">Polygon  —  </w:t>
      </w:r>
      <w:r>
        <w:rPr>
          <w:rFonts w:ascii="Arial" w:cs="Arial" w:eastAsia="Arial" w:hAnsi="Arial"/>
          <w:color w:val="333333"/>
          <w:sz w:val="22"/>
          <w:szCs w:val="22"/>
        </w:rPr>
        <w:t xml:space="preserve">A financial data API provider used for historical OHLCV bars. Used by the dynamic scoring engine for technical analysis calculations.</w:t>
      </w:r>
    </w:p>
    <w:p>
      <w:pPr>
        <w:spacing w:after="160" w:line="260"/>
      </w:pPr>
      <w:r>
        <w:rPr>
          <w:rFonts w:ascii="Arial" w:cs="Arial" w:eastAsia="Arial" w:hAnsi="Arial"/>
          <w:b/>
          <w:bCs/>
          <w:color w:val="1F4D78"/>
          <w:sz w:val="22"/>
          <w:szCs w:val="22"/>
        </w:rPr>
        <w:t xml:space="preserve">Position Sizer  —  </w:t>
      </w:r>
      <w:r>
        <w:rPr>
          <w:rFonts w:ascii="Arial" w:cs="Arial" w:eastAsia="Arial" w:hAnsi="Arial"/>
          <w:color w:val="333333"/>
          <w:sz w:val="22"/>
          <w:szCs w:val="22"/>
        </w:rPr>
        <w:t xml:space="preserve">The module that calculates recommended share quantities based on account risk percentage, stop distance, and maximum position limits.</w:t>
      </w:r>
    </w:p>
    <w:p>
      <w:pPr>
        <w:spacing w:after="160" w:line="260"/>
      </w:pPr>
      <w:r>
        <w:rPr>
          <w:rFonts w:ascii="Arial" w:cs="Arial" w:eastAsia="Arial" w:hAnsi="Arial"/>
          <w:b/>
          <w:bCs/>
          <w:color w:val="1F4D78"/>
          <w:sz w:val="22"/>
          <w:szCs w:val="22"/>
        </w:rPr>
        <w:t xml:space="preserve">Power from Pivot  —  </w:t>
      </w:r>
      <w:r>
        <w:rPr>
          <w:rFonts w:ascii="Arial" w:cs="Arial" w:eastAsia="Arial" w:hAnsi="Arial"/>
          <w:color w:val="333333"/>
          <w:sz w:val="22"/>
          <w:szCs w:val="22"/>
        </w:rPr>
        <w:t xml:space="preserve">A MarketSurge flag indicating a stock gained 20%+ within three weeks of breakout, triggering the eight-week hold rule.</w:t>
      </w:r>
    </w:p>
    <w:p>
      <w:pPr>
        <w:spacing w:after="160" w:line="260"/>
      </w:pPr>
      <w:r>
        <w:rPr>
          <w:rFonts w:ascii="Arial" w:cs="Arial" w:eastAsia="Arial" w:hAnsi="Arial"/>
          <w:b/>
          <w:bCs/>
          <w:color w:val="1F4D78"/>
          <w:sz w:val="22"/>
          <w:szCs w:val="22"/>
        </w:rPr>
        <w:t xml:space="preserve">Relative Strength (RS) Line  —  </w:t>
      </w:r>
      <w:r>
        <w:rPr>
          <w:rFonts w:ascii="Arial" w:cs="Arial" w:eastAsia="Arial" w:hAnsi="Arial"/>
          <w:color w:val="333333"/>
          <w:sz w:val="22"/>
          <w:szCs w:val="22"/>
        </w:rPr>
        <w:t xml:space="preserve">A line on price charts showing the stock’s performance versus the S&amp;P 500. Rising RS line = outperformance.</w:t>
      </w:r>
    </w:p>
    <w:p>
      <w:pPr>
        <w:spacing w:after="160" w:line="260"/>
      </w:pPr>
      <w:r>
        <w:rPr>
          <w:rFonts w:ascii="Arial" w:cs="Arial" w:eastAsia="Arial" w:hAnsi="Arial"/>
          <w:b/>
          <w:bCs/>
          <w:color w:val="1F4D78"/>
          <w:sz w:val="22"/>
          <w:szCs w:val="22"/>
        </w:rPr>
        <w:t xml:space="preserve">RS Rating  —  </w:t>
      </w:r>
      <w:r>
        <w:rPr>
          <w:rFonts w:ascii="Arial" w:cs="Arial" w:eastAsia="Arial" w:hAnsi="Arial"/>
          <w:color w:val="333333"/>
          <w:sz w:val="22"/>
          <w:szCs w:val="22"/>
        </w:rPr>
        <w:t xml:space="preserve">Relative Strength Rating from MarketSurge (1–99). Compares a stock’s price performance over the past 12 months to all other stocks.</w:t>
      </w:r>
    </w:p>
    <w:p>
      <w:pPr>
        <w:spacing w:after="160" w:line="260"/>
      </w:pPr>
      <w:r>
        <w:rPr>
          <w:rFonts w:ascii="Arial" w:cs="Arial" w:eastAsia="Arial" w:hAnsi="Arial"/>
          <w:b/>
          <w:bCs/>
          <w:color w:val="1F4D78"/>
          <w:sz w:val="22"/>
          <w:szCs w:val="22"/>
        </w:rPr>
        <w:t xml:space="preserve">Ridge Regression  —  </w:t>
      </w:r>
      <w:r>
        <w:rPr>
          <w:rFonts w:ascii="Arial" w:cs="Arial" w:eastAsia="Arial" w:hAnsi="Arial"/>
          <w:color w:val="333333"/>
          <w:sz w:val="22"/>
          <w:szCs w:val="22"/>
        </w:rPr>
        <w:t xml:space="preserve">A machine learning technique used by the learning engine to find optimal scoring weights while handling correlated inputs.</w:t>
      </w:r>
    </w:p>
    <w:p>
      <w:pPr>
        <w:spacing w:after="160" w:line="260"/>
      </w:pPr>
      <w:r>
        <w:rPr>
          <w:rFonts w:ascii="Arial" w:cs="Arial" w:eastAsia="Arial" w:hAnsi="Arial"/>
          <w:b/>
          <w:bCs/>
          <w:color w:val="1F4D78"/>
          <w:sz w:val="22"/>
          <w:szCs w:val="22"/>
        </w:rPr>
        <w:t xml:space="preserve">RVOL  —  </w:t>
      </w:r>
      <w:r>
        <w:rPr>
          <w:rFonts w:ascii="Arial" w:cs="Arial" w:eastAsia="Arial" w:hAnsi="Arial"/>
          <w:color w:val="333333"/>
          <w:sz w:val="22"/>
          <w:szCs w:val="22"/>
        </w:rPr>
        <w:t xml:space="preserve">Relative Volume. Time-adjusted volume ratio comparing current intraday volume to the expected volume at that time of day.</w:t>
      </w:r>
    </w:p>
    <w:p>
      <w:pPr>
        <w:spacing w:after="160" w:line="260"/>
      </w:pPr>
      <w:r>
        <w:rPr>
          <w:rFonts w:ascii="Arial" w:cs="Arial" w:eastAsia="Arial" w:hAnsi="Arial"/>
          <w:b/>
          <w:bCs/>
          <w:color w:val="1F4D78"/>
          <w:sz w:val="22"/>
          <w:szCs w:val="22"/>
        </w:rPr>
        <w:t xml:space="preserve">Scoring Engine  —  </w:t>
      </w:r>
      <w:r>
        <w:rPr>
          <w:rFonts w:ascii="Arial" w:cs="Arial" w:eastAsia="Arial" w:hAnsi="Arial"/>
          <w:color w:val="333333"/>
          <w:sz w:val="22"/>
          <w:szCs w:val="22"/>
        </w:rPr>
        <w:t xml:space="preserve">The v2.3 module that assigns composite scores and letter grades to watchlist stocks based on static and dynamic factors.</w:t>
      </w:r>
    </w:p>
    <w:p>
      <w:pPr>
        <w:spacing w:after="160" w:line="260"/>
      </w:pPr>
      <w:r>
        <w:rPr>
          <w:rFonts w:ascii="Arial" w:cs="Arial" w:eastAsia="Arial" w:hAnsi="Arial"/>
          <w:b/>
          <w:bCs/>
          <w:color w:val="1F4D78"/>
          <w:sz w:val="22"/>
          <w:szCs w:val="22"/>
        </w:rPr>
        <w:t xml:space="preserve">Shakeout Plus 3  —  </w:t>
      </w:r>
      <w:r>
        <w:rPr>
          <w:rFonts w:ascii="Arial" w:cs="Arial" w:eastAsia="Arial" w:hAnsi="Arial"/>
          <w:color w:val="333333"/>
          <w:sz w:val="22"/>
          <w:szCs w:val="22"/>
        </w:rPr>
        <w:t xml:space="preserve">An aggressive alternative entry technique. Entry = first low of base + 10%. Requires half-size pilot position and quick exits if wrong.</w:t>
      </w:r>
    </w:p>
    <w:p>
      <w:pPr>
        <w:spacing w:after="160" w:line="260"/>
      </w:pPr>
      <w:r>
        <w:rPr>
          <w:rFonts w:ascii="Arial" w:cs="Arial" w:eastAsia="Arial" w:hAnsi="Arial"/>
          <w:b/>
          <w:bCs/>
          <w:color w:val="1F4D78"/>
          <w:sz w:val="22"/>
          <w:szCs w:val="22"/>
        </w:rPr>
        <w:t xml:space="preserve">Snap-Back Rally  —  </w:t>
      </w:r>
      <w:r>
        <w:rPr>
          <w:rFonts w:ascii="Arial" w:cs="Arial" w:eastAsia="Arial" w:hAnsi="Arial"/>
          <w:color w:val="333333"/>
          <w:sz w:val="22"/>
          <w:szCs w:val="22"/>
        </w:rPr>
        <w:t xml:space="preserve">A rapid price recovery after an undercut of support, often driven by institutions buying the dip.</w:t>
      </w:r>
    </w:p>
    <w:p>
      <w:pPr>
        <w:spacing w:after="160" w:line="260"/>
      </w:pPr>
      <w:r>
        <w:rPr>
          <w:rFonts w:ascii="Arial" w:cs="Arial" w:eastAsia="Arial" w:hAnsi="Arial"/>
          <w:b/>
          <w:bCs/>
          <w:color w:val="1F4D78"/>
          <w:sz w:val="22"/>
          <w:szCs w:val="22"/>
        </w:rPr>
        <w:t xml:space="preserve">Static Factors  —  </w:t>
      </w:r>
      <w:r>
        <w:rPr>
          <w:rFonts w:ascii="Arial" w:cs="Arial" w:eastAsia="Arial" w:hAnsi="Arial"/>
          <w:color w:val="333333"/>
          <w:sz w:val="22"/>
          <w:szCs w:val="22"/>
        </w:rPr>
        <w:t xml:space="preserve">Scoring components from MarketSurge/Google Sheet data: pattern type, base stage, depth, length, and RS Rating.</w:t>
      </w:r>
    </w:p>
    <w:p>
      <w:pPr>
        <w:spacing w:after="160" w:line="260"/>
      </w:pPr>
      <w:r>
        <w:rPr>
          <w:rFonts w:ascii="Arial" w:cs="Arial" w:eastAsia="Arial" w:hAnsi="Arial"/>
          <w:b/>
          <w:bCs/>
          <w:color w:val="1F4D78"/>
          <w:sz w:val="22"/>
          <w:szCs w:val="22"/>
        </w:rPr>
        <w:t xml:space="preserve">Three Weeks Tight  —  </w:t>
      </w:r>
      <w:r>
        <w:rPr>
          <w:rFonts w:ascii="Arial" w:cs="Arial" w:eastAsia="Arial" w:hAnsi="Arial"/>
          <w:color w:val="333333"/>
          <w:sz w:val="22"/>
          <w:szCs w:val="22"/>
        </w:rPr>
        <w:t xml:space="preserve">A pattern where weekly closing prices cluster within 1–1.5% for three consecutive weeks. Entry on break above the high point with volume.</w:t>
      </w:r>
    </w:p>
    <w:p>
      <w:pPr>
        <w:spacing w:after="160" w:line="260"/>
      </w:pPr>
      <w:r>
        <w:rPr>
          <w:rFonts w:ascii="Arial" w:cs="Arial" w:eastAsia="Arial" w:hAnsi="Arial"/>
          <w:b/>
          <w:bCs/>
          <w:color w:val="1F4D78"/>
          <w:sz w:val="22"/>
          <w:szCs w:val="22"/>
        </w:rPr>
        <w:t xml:space="preserve">Trailing Stop  —  </w:t>
      </w:r>
      <w:r>
        <w:rPr>
          <w:rFonts w:ascii="Arial" w:cs="Arial" w:eastAsia="Arial" w:hAnsi="Arial"/>
          <w:color w:val="333333"/>
          <w:sz w:val="22"/>
          <w:szCs w:val="22"/>
        </w:rPr>
        <w:t xml:space="preserve">A stop-loss level that rises with the stock price, activated after a position gains a configurable percentage (default 15%).</w:t>
      </w:r>
    </w:p>
    <w:p>
      <w:pPr>
        <w:spacing w:after="160" w:line="260"/>
      </w:pPr>
      <w:r>
        <w:rPr>
          <w:rFonts w:ascii="Arial" w:cs="Arial" w:eastAsia="Arial" w:hAnsi="Arial"/>
          <w:b/>
          <w:bCs/>
          <w:color w:val="1F4D78"/>
          <w:sz w:val="22"/>
          <w:szCs w:val="22"/>
        </w:rPr>
        <w:t xml:space="preserve">Volume Dry-Up  —  </w:t>
      </w:r>
      <w:r>
        <w:rPr>
          <w:rFonts w:ascii="Arial" w:cs="Arial" w:eastAsia="Arial" w:hAnsi="Arial"/>
          <w:color w:val="333333"/>
          <w:sz w:val="22"/>
          <w:szCs w:val="22"/>
        </w:rPr>
        <w:t xml:space="preserve">A decline in trading volume during base formation, indicating sellers are being exhausted. Bullish when followed by volume expansion on breakout.</w:t>
      </w:r>
    </w:p>
    <w:p>
      <w:pPr>
        <w:spacing w:after="160" w:line="260"/>
      </w:pPr>
      <w:r>
        <w:rPr>
          <w:rFonts w:ascii="Arial" w:cs="Arial" w:eastAsia="Arial" w:hAnsi="Arial"/>
          <w:b/>
          <w:bCs/>
          <w:color w:val="1F4D78"/>
          <w:sz w:val="22"/>
          <w:szCs w:val="22"/>
        </w:rPr>
        <w:t xml:space="preserve">YAML  —  </w:t>
      </w:r>
      <w:r>
        <w:rPr>
          <w:rFonts w:ascii="Arial" w:cs="Arial" w:eastAsia="Arial" w:hAnsi="Arial"/>
          <w:color w:val="333333"/>
          <w:sz w:val="22"/>
          <w:szCs w:val="22"/>
        </w:rPr>
        <w:t xml:space="preserve">Yet Another Markup Language. The human-readable configuration format used by all CANSLIM Monitor config files.</w:t>
      </w:r>
    </w:p>
    <w:p>
      <w:pPr>
        <w:spacing w:before="300" w:after="0"/>
      </w:pPr>
    </w:p>
    <w:p>
      <w:pPr>
        <w:spacing w:before="200"/>
        <w:jc w:val="center"/>
      </w:pPr>
      <w:r>
        <w:rPr>
          <w:rFonts w:ascii="Arial" w:cs="Arial" w:eastAsia="Arial" w:hAnsi="Arial"/>
          <w:i/>
          <w:iCs/>
          <w:color w:val="2E74B5"/>
          <w:sz w:val="24"/>
          <w:szCs w:val="24"/>
        </w:rPr>
        <w:t xml:space="preserve">— End of CANSLIM Trading System User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User Guide: Part VIII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D7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2026-02-14T01:12:45.177Z</dcterms:created>
  <dcterms:modified xsi:type="dcterms:W3CDTF">2026-02-14T01:12:45.178Z</dcterms:modified>
</cp:coreProperties>
</file>

<file path=docProps/custom.xml><?xml version="1.0" encoding="utf-8"?>
<Properties xmlns="http://schemas.openxmlformats.org/officeDocument/2006/custom-properties" xmlns:vt="http://schemas.openxmlformats.org/officeDocument/2006/docPropsVTypes"/>
</file>