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jc w:val="center"/>
      </w:pPr>
      <w:r>
        <w:rPr>
          <w:rFonts w:ascii="Arial" w:cs="Arial" w:eastAsia="Arial" w:hAnsi="Arial"/>
          <w:b/>
          <w:bCs/>
          <w:color w:val="1F4D78"/>
          <w:sz w:val="48"/>
          <w:szCs w:val="48"/>
        </w:rPr>
        <w:t xml:space="preserve">CANSLIM Trading System</w:t>
      </w:r>
    </w:p>
    <w:p>
      <w:pPr>
        <w:spacing w:after="200"/>
        <w:jc w:val="center"/>
      </w:pPr>
      <w:r>
        <w:rPr>
          <w:rFonts w:ascii="Arial" w:cs="Arial" w:eastAsia="Arial" w:hAnsi="Arial"/>
          <w:b/>
          <w:bCs/>
          <w:color w:val="2E74B5"/>
          <w:sz w:val="44"/>
          <w:szCs w:val="44"/>
        </w:rPr>
        <w:t xml:space="preserve">User Guide</w:t>
      </w:r>
    </w:p>
    <w:p>
      <w:pPr>
        <w:spacing w:before="200" w:after="0"/>
      </w:pPr>
    </w:p>
    <w:p>
      <w:pPr>
        <w:jc w:val="center"/>
      </w:pPr>
      <w:r>
        <w:rPr>
          <w:rFonts w:ascii="Arial" w:cs="Arial" w:eastAsia="Arial" w:hAnsi="Arial"/>
          <w:color w:val="2E74B5"/>
          <w:sz w:val="32"/>
          <w:szCs w:val="32"/>
        </w:rPr>
        <w:t xml:space="preserve">Part VII: Configuration and Customization</w:t>
      </w:r>
    </w:p>
    <w:p>
      <w:pPr>
        <w:spacing w:before="100" w:after="0"/>
      </w:pPr>
    </w:p>
    <w:p>
      <w:pPr>
        <w:jc w:val="center"/>
      </w:pPr>
      <w:r>
        <w:rPr>
          <w:rFonts w:ascii="Arial" w:cs="Arial" w:eastAsia="Arial" w:hAnsi="Arial"/>
          <w:color w:val="333333"/>
          <w:sz w:val="26"/>
          <w:szCs w:val="26"/>
        </w:rPr>
        <w:t xml:space="preserve">Chapters 31 – 33</w:t>
      </w:r>
    </w:p>
    <w:p>
      <w:pPr>
        <w:spacing w:before="300" w:after="0"/>
      </w:pPr>
    </w:p>
    <w:p>
      <w:pPr>
        <w:jc w:val="center"/>
      </w:pPr>
      <w:r>
        <w:rPr>
          <w:rFonts w:ascii="Arial" w:cs="Arial" w:eastAsia="Arial" w:hAnsi="Arial"/>
          <w:i/>
          <w:iCs/>
          <w:color w:val="333333"/>
          <w:sz w:val="22"/>
          <w:szCs w:val="22"/>
        </w:rPr>
        <w:t xml:space="preserve">Every trading style is unique. This section teaches you how to tune</w:t>
      </w:r>
    </w:p>
    <w:p>
      <w:pPr>
        <w:jc w:val="center"/>
      </w:pPr>
      <w:r>
        <w:rPr>
          <w:rFonts w:ascii="Arial" w:cs="Arial" w:eastAsia="Arial" w:hAnsi="Arial"/>
          <w:i/>
          <w:iCs/>
          <w:color w:val="333333"/>
          <w:sz w:val="22"/>
          <w:szCs w:val="22"/>
        </w:rPr>
        <w:t xml:space="preserve">the CANSLIM Monitor to match your risk tolerance, schedule, and preferences.</w:t>
      </w:r>
    </w:p>
    <w:p>
      <w:r>
        <w:br w:type="page"/>
      </w:r>
    </w:p>
    <w:p>
      <w:pPr>
        <w:pStyle w:val="Heading1"/>
        <w:spacing w:before="360" w:after="200"/>
      </w:pPr>
      <w:r>
        <w:rPr>
          <w:rFonts w:ascii="Arial" w:cs="Arial" w:eastAsia="Arial" w:hAnsi="Arial"/>
          <w:b/>
          <w:bCs/>
          <w:color w:val="1F4D78"/>
          <w:sz w:val="36"/>
          <w:szCs w:val="36"/>
        </w:rPr>
        <w:t xml:space="preserve">Part VII: Configuration and Customization</w:t>
      </w:r>
    </w:p>
    <w:p>
      <w:pPr>
        <w:spacing w:before="80" w:after="0"/>
      </w:pPr>
    </w:p>
    <w:p>
      <w:pPr>
        <w:spacing w:after="200" w:line="276"/>
      </w:pPr>
      <w:r>
        <w:rPr>
          <w:rFonts w:ascii="Arial" w:cs="Arial" w:eastAsia="Arial" w:hAnsi="Arial"/>
          <w:color w:val="333333"/>
          <w:sz w:val="22"/>
          <w:szCs w:val="22"/>
        </w:rPr>
        <w:t xml:space="preserve">The CANSLIM Monitor is designed to be configurable without code changes. Every threshold, weight, timing interval, and integration endpoint is controlled through YAML configuration files that you can edit with any text editor. This approach means you can tune the system to match your personal trading style, risk tolerance, and schedule without ever touching a line of Python.</w:t>
      </w:r>
    </w:p>
    <w:p>
      <w:pPr>
        <w:spacing w:after="200" w:line="276"/>
      </w:pPr>
      <w:r>
        <w:rPr>
          <w:rFonts w:ascii="Arial" w:cs="Arial" w:eastAsia="Arial" w:hAnsi="Arial"/>
          <w:color w:val="333333"/>
          <w:sz w:val="22"/>
          <w:szCs w:val="22"/>
        </w:rPr>
        <w:t xml:space="preserve">This section covers three areas of configuration. First, the YAML configuration system itself—how the three-tier priority structure works, what each setting controls, and how to make changes safely. Second, the scoring weight customization—how to adjust the factors that determine a stock’s grade, including the relationship between manual tuning and the learning engine’s recommendations. Third, external integrations—setting up Discord webhooks, Google Sheets sync, IBKR connections, and data provider APIs.</w:t>
      </w:r>
    </w:p>
    <w:p>
      <w:pPr>
        <w:spacing w:after="200" w:line="276"/>
      </w:pPr>
      <w:r>
        <w:rPr>
          <w:rFonts w:ascii="Arial" w:cs="Arial" w:eastAsia="Arial" w:hAnsi="Arial"/>
          <w:color w:val="333333"/>
          <w:sz w:val="22"/>
          <w:szCs w:val="22"/>
        </w:rPr>
        <w:t xml:space="preserve">Before changing anything, internalize this principle: the default configuration represents months of testing and validation. Every threshold was set for a reason. Change one setting at a time, document what you changed and why, and monitor the results for at least two weeks before making additional adjustments. The fastest way to degrade system performance is to change multiple settings simultaneously, because you will never know which change caused which effect.</w:t>
      </w:r>
    </w:p>
    <w:p>
      <w:r>
        <w:br w:type="page"/>
      </w:r>
    </w:p>
    <w:p>
      <w:pPr>
        <w:pStyle w:val="Heading1"/>
        <w:spacing w:before="360" w:after="200"/>
      </w:pPr>
      <w:r>
        <w:rPr>
          <w:rFonts w:ascii="Arial" w:cs="Arial" w:eastAsia="Arial" w:hAnsi="Arial"/>
          <w:b/>
          <w:bCs/>
          <w:color w:val="1F4D78"/>
          <w:sz w:val="36"/>
          <w:szCs w:val="36"/>
        </w:rPr>
        <w:t xml:space="preserve">Chapter 31: The YAML Configuration System</w:t>
      </w:r>
    </w:p>
    <w:p>
      <w:pPr>
        <w:spacing w:after="200" w:line="276"/>
      </w:pPr>
      <w:r>
        <w:rPr>
          <w:rFonts w:ascii="Arial" w:cs="Arial" w:eastAsia="Arial" w:hAnsi="Arial"/>
          <w:color w:val="333333"/>
          <w:sz w:val="22"/>
          <w:szCs w:val="22"/>
        </w:rPr>
        <w:t xml:space="preserve">YAML (Yet Another Markup Language) is a human-readable data format commonly used for configuration files. If you have never worked with YAML before, the essential rules are simple: indentation matters (use spaces, never tabs), colons separate keys from values, and hashes mark comments. The system’s entire behavior can be understood by reading the YAML files—there are no hidden settings buried in code.</w:t>
      </w:r>
    </w:p>
    <w:p>
      <w:pPr>
        <w:pStyle w:val="Heading2"/>
        <w:spacing w:before="280" w:after="160"/>
      </w:pPr>
      <w:r>
        <w:rPr>
          <w:rFonts w:ascii="Arial" w:cs="Arial" w:eastAsia="Arial" w:hAnsi="Arial"/>
          <w:b/>
          <w:bCs/>
          <w:color w:val="2E74B5"/>
          <w:sz w:val="28"/>
          <w:szCs w:val="28"/>
        </w:rPr>
        <w:t xml:space="preserve">31.1 The Three-Tier Priority System</w:t>
      </w:r>
    </w:p>
    <w:p>
      <w:pPr>
        <w:spacing w:after="200" w:line="276"/>
      </w:pPr>
      <w:r>
        <w:rPr>
          <w:rFonts w:ascii="Arial" w:cs="Arial" w:eastAsia="Arial" w:hAnsi="Arial"/>
          <w:color w:val="333333"/>
          <w:sz w:val="22"/>
          <w:szCs w:val="22"/>
        </w:rPr>
        <w:t xml:space="preserve">The CANSLIM Monitor uses a three-tier configuration priority system. When the system loads, it reads settings from multiple sources and merges them together, with higher-priority sources overriding lower-priority ones. Understanding this hierarchy is essential for making changes that actually take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2760"/>
      </w:tblGrid>
      <w:tr>
        <w:tc>
          <w:tcPr>
            <w:tcW w:type="dxa" w:w="12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26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8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276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 (Highest)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Command line argument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python monitor.py -c path</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One-off overrides, testing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user_config.yaml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canslim_monitor/</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Your personal settings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 (Lowest)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config/config.yaml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canslim_monitor/config/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System defaults</w:t>
            </w:r>
          </w:p>
        </w:tc>
      </w:tr>
    </w:tbl>
    <w:p>
      <w:pPr>
        <w:spacing w:before="80" w:after="0"/>
      </w:pPr>
    </w:p>
    <w:p>
      <w:pPr>
        <w:spacing w:after="200" w:line="276"/>
      </w:pPr>
      <w:r>
        <w:rPr>
          <w:rFonts w:ascii="Arial" w:cs="Arial" w:eastAsia="Arial" w:hAnsi="Arial"/>
          <w:color w:val="333333"/>
          <w:sz w:val="22"/>
          <w:szCs w:val="22"/>
        </w:rPr>
        <w:t xml:space="preserve">The system defaults in config/config.yaml represent the base configuration. You should never edit this file directly because it will be overwritten during updates. Instead, create a user_config.yaml file in the canslim_monitor directory with only the settings you want to change. The system will load the defaults first, then layer your overrides on top. This means your user_config.yaml only needs to contain the specific values that differ from the defaults—you do not need to reproduce the entire default file.</w:t>
      </w:r>
    </w:p>
    <w:p>
      <w:pPr>
        <w:spacing w:after="200" w:line="276"/>
      </w:pPr>
      <w:r>
        <w:rPr>
          <w:rFonts w:ascii="Arial" w:cs="Arial" w:eastAsia="Arial" w:hAnsi="Arial"/>
          <w:color w:val="333333"/>
          <w:sz w:val="22"/>
          <w:szCs w:val="22"/>
        </w:rPr>
        <w:t xml:space="preserve">For testing or one-off scenarios, you can specify a configuration file on the command line. This takes highest priority and overrides both the defaults and your user config. This is useful for running the system in test mode with a separate database path, or for temporarily changing thresholds while you validate a new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single" w:color="D4A017" w:sz="6"/>
              <w:bottom w:val="none" w:sz="0"/>
              <w:right w:val="single" w:color="D4A017" w:sz="6"/>
            </w:tcBorders>
            <w:shd w:fill="FFF3CD" w:val="clear"/>
            <w:tcMar>
              <w:top w:type="dxa" w:w="100"/>
              <w:left w:type="dxa" w:w="160"/>
              <w:bottom w:type="dxa" w:w="100"/>
              <w:right w:type="dxa" w:w="160"/>
            </w:tcMar>
          </w:tcPr>
          <w:p>
            <w:pPr>
              <w:spacing w:after="40"/>
            </w:pPr>
            <w:r>
              <w:rPr>
                <w:rFonts w:ascii="Arial" w:cs="Arial" w:eastAsia="Arial" w:hAnsi="Arial"/>
                <w:b/>
                <w:bCs/>
                <w:color w:val="D4A017"/>
                <w:sz w:val="22"/>
                <w:szCs w:val="22"/>
              </w:rPr>
              <w:t xml:space="preserve">⚠️ Important: Hot Reloading</w:t>
            </w:r>
          </w:p>
        </w:tc>
      </w:tr>
      <w:tr>
        <w:tc>
          <w:tcPr>
            <w:tcW w:type="dxa" w:w="9360"/>
            <w:tcBorders>
              <w:top w:val="none" w:sz="0"/>
              <w:left w:val="single" w:color="D4A017" w:sz="6"/>
              <w:bottom w:val="single" w:color="D4A017" w:sz="6"/>
              <w:right w:val="single" w:color="D4A017" w:sz="6"/>
            </w:tcBorders>
            <w:shd w:fill="FFF3CD" w:val="clear"/>
            <w:tcMar>
              <w:top w:type="dxa" w:w="100"/>
              <w:left w:type="dxa" w:w="160"/>
              <w:bottom w:type="dxa" w:w="100"/>
              <w:right w:type="dxa" w:w="160"/>
            </w:tcMar>
          </w:tcPr>
          <w:p>
            <w:pPr>
              <w:spacing w:after="80" w:line="260"/>
            </w:pPr>
            <w:r>
              <w:rPr>
                <w:rFonts w:ascii="Arial" w:cs="Arial" w:eastAsia="Arial" w:hAnsi="Arial"/>
                <w:color w:val="333333"/>
                <w:sz w:val="20"/>
                <w:szCs w:val="20"/>
              </w:rPr>
              <w:t xml:space="preserve">The service supports hot configuration reloading via the IPC reload_config command.</w:t>
            </w:r>
          </w:p>
          <w:p>
            <w:pPr>
              <w:spacing w:after="80" w:line="260"/>
            </w:pPr>
            <w:r>
              <w:rPr>
                <w:rFonts w:ascii="Arial" w:cs="Arial" w:eastAsia="Arial" w:hAnsi="Arial"/>
                <w:color w:val="333333"/>
                <w:sz w:val="20"/>
                <w:szCs w:val="20"/>
              </w:rPr>
              <w:t xml:space="preserve">This means you can edit user_config.yaml while the service is running and apply changes without restarting.</w:t>
            </w:r>
          </w:p>
          <w:p>
            <w:pPr>
              <w:spacing w:after="80" w:line="260"/>
            </w:pPr>
            <w:r>
              <w:rPr>
                <w:rFonts w:ascii="Arial" w:cs="Arial" w:eastAsia="Arial" w:hAnsi="Arial"/>
                <w:color w:val="333333"/>
                <w:sz w:val="20"/>
                <w:szCs w:val="20"/>
              </w:rPr>
              <w:t xml:space="preserve">The GUI provides a reload button in the service control panel that triggers this command.</w:t>
            </w:r>
          </w:p>
          <w:p>
            <w:pPr>
              <w:spacing w:after="80" w:line="260"/>
            </w:pPr>
            <w:r>
              <w:rPr>
                <w:rFonts w:ascii="Arial" w:cs="Arial" w:eastAsia="Arial" w:hAnsi="Arial"/>
                <w:color w:val="333333"/>
                <w:sz w:val="20"/>
                <w:szCs w:val="20"/>
              </w:rPr>
              <w:t xml:space="preserve">Not all settings can be hot-reloaded—database path and IBKR connection changes require a full restart.</w:t>
            </w:r>
          </w:p>
        </w:tc>
      </w:tr>
    </w:tbl>
    <w:p>
      <w:pPr>
        <w:pStyle w:val="Heading2"/>
        <w:spacing w:before="280" w:after="160"/>
      </w:pPr>
      <w:r>
        <w:rPr>
          <w:rFonts w:ascii="Arial" w:cs="Arial" w:eastAsia="Arial" w:hAnsi="Arial"/>
          <w:b/>
          <w:bCs/>
          <w:color w:val="2E74B5"/>
          <w:sz w:val="28"/>
          <w:szCs w:val="28"/>
        </w:rPr>
        <w:t xml:space="preserve">31.2 Service and Thread Settings</w:t>
      </w:r>
    </w:p>
    <w:p>
      <w:pPr>
        <w:spacing w:after="200" w:line="276"/>
      </w:pPr>
      <w:r>
        <w:rPr>
          <w:rFonts w:ascii="Arial" w:cs="Arial" w:eastAsia="Arial" w:hAnsi="Arial"/>
          <w:color w:val="333333"/>
          <w:sz w:val="22"/>
          <w:szCs w:val="22"/>
        </w:rPr>
        <w:t xml:space="preserve">The service section controls the fundamental behavior of the monitoring threads. The three polling intervals—breakout, position, and market—determine how frequently each thread checks for changes. The defaults of 60 seconds for breakouts, 30 seconds for positions, and 300 seconds (five minutes) for market regime analysis were calibrated through extensive testing.</w:t>
      </w:r>
    </w:p>
    <w:p>
      <w:pPr>
        <w:spacing w:after="200" w:line="276"/>
      </w:pPr>
      <w:r>
        <w:rPr>
          <w:rFonts w:ascii="Arial" w:cs="Arial" w:eastAsia="Arial" w:hAnsi="Arial"/>
          <w:color w:val="333333"/>
          <w:sz w:val="22"/>
          <w:szCs w:val="22"/>
        </w:rPr>
        <w:t xml:space="preserve">The breakout thread runs every 60 seconds because pivot breakouts are time-sensitive events—you want to know within a minute when a stock clears its pivot. The position thread runs every 30 seconds because stop-loss violations require even faster response—if a stock is crashing through your stop level, seconds matter. The market thread runs every 5 minutes because market regime changes are slow-moving phenomena based on end-of-day data that do not require real-time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000"/>
        <w:gridCol w:w="2560"/>
      </w:tblGrid>
      <w:tr>
        <w:tc>
          <w:tcPr>
            <w:tcW w:type="dxa" w:w="32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20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56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poll_interval_breakout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60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seconds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Lower = faster alerts, more CPU</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poll_interval_position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30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seconds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Critical for stop detection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poll_interval_market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seconds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 min is sufficient for regime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market_hours_only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true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boolean</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Pause threads outside 9:30–16:00 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timezone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America/New_York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All market hours calculated in ET</w:t>
            </w:r>
          </w:p>
        </w:tc>
      </w:tr>
    </w:tbl>
    <w:p>
      <w:pPr>
        <w:spacing w:before="80" w:after="0"/>
      </w:pPr>
    </w:p>
    <w:p>
      <w:pPr>
        <w:spacing w:after="200" w:line="276"/>
      </w:pPr>
      <w:r>
        <w:rPr>
          <w:rFonts w:ascii="Arial" w:cs="Arial" w:eastAsia="Arial" w:hAnsi="Arial"/>
          <w:color w:val="333333"/>
          <w:sz w:val="22"/>
          <w:szCs w:val="22"/>
        </w:rPr>
        <w:t xml:space="preserve">If you are a West Coast trader who occasionally checks pre-market activity, you might set market_hours_only to false and let the system monitor during extended hours. Be aware that volume data during pre-market and after-hours sessions is significantly thinner, which means breakout signals generated outside regular hours should be treated with additional skepticism.</w:t>
      </w:r>
    </w:p>
    <w:p>
      <w:pPr>
        <w:pStyle w:val="Heading2"/>
        <w:spacing w:before="280" w:after="160"/>
      </w:pPr>
      <w:r>
        <w:rPr>
          <w:rFonts w:ascii="Arial" w:cs="Arial" w:eastAsia="Arial" w:hAnsi="Arial"/>
          <w:b/>
          <w:bCs/>
          <w:color w:val="2E74B5"/>
          <w:sz w:val="28"/>
          <w:szCs w:val="28"/>
        </w:rPr>
        <w:t xml:space="preserve">31.3 Alert Configuration</w:t>
      </w:r>
    </w:p>
    <w:p>
      <w:pPr>
        <w:spacing w:after="200" w:line="276"/>
      </w:pPr>
      <w:r>
        <w:rPr>
          <w:rFonts w:ascii="Arial" w:cs="Arial" w:eastAsia="Arial" w:hAnsi="Arial"/>
          <w:color w:val="333333"/>
          <w:sz w:val="22"/>
          <w:szCs w:val="22"/>
        </w:rPr>
        <w:t xml:space="preserve">The alert settings control what triggers notifications and how often you receive them. This is the section you are most likely to customize, because alert frequency is deeply personal—some traders want to know about every stock that approaches a pivot, while others only want confirmed breakouts with strong volume.</w:t>
      </w:r>
    </w:p>
    <w:p>
      <w:pPr>
        <w:spacing w:before="200" w:after="120"/>
      </w:pPr>
      <w:r>
        <w:rPr>
          <w:rFonts w:ascii="Arial" w:cs="Arial" w:eastAsia="Arial" w:hAnsi="Arial"/>
          <w:b/>
          <w:bCs/>
          <w:color w:val="2E74B5"/>
          <w:sz w:val="24"/>
          <w:szCs w:val="24"/>
        </w:rPr>
        <w:t xml:space="preserve">Breakout Alert Thresholds</w:t>
      </w:r>
    </w:p>
    <w:p>
      <w:pPr>
        <w:spacing w:after="200" w:line="276"/>
      </w:pPr>
      <w:r>
        <w:rPr>
          <w:rFonts w:ascii="Arial" w:cs="Arial" w:eastAsia="Arial" w:hAnsi="Arial"/>
          <w:color w:val="333333"/>
          <w:sz w:val="22"/>
          <w:szCs w:val="22"/>
        </w:rPr>
        <w:t xml:space="preserve">The breakout section contains volume thresholds for each alert subtype. The key insight is that different alert types serve different purposes, and they deserve different volume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000"/>
        <w:gridCol w:w="2960"/>
      </w:tblGrid>
      <w:tr>
        <w:tc>
          <w:tcPr>
            <w:tcW w:type="dxa" w:w="30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14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20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Effect when 0</w:t>
            </w:r>
          </w:p>
        </w:tc>
        <w:tc>
          <w:tcPr>
            <w:tcW w:type="dxa" w:w="296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Recommendation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volume_threshold_confirmed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N/A (always required)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IBD standard: 40% above avg</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volume_threshold_buy_zone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0.0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Alert any stock in zone</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0 catches early setups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volume_threshold_approaching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Alert any stock near pivot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0 gives maximum heads-up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max_extended_pct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7.0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Don’t alert stocks &gt;7% above pivot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min_alert_grade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Filter out low-quality setups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min_avg_volume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500000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Minimum ADV for institutional liquidity</w:t>
            </w:r>
          </w:p>
        </w:tc>
      </w:tr>
    </w:tbl>
    <w:p>
      <w:pPr>
        <w:spacing w:before="80" w:after="0"/>
      </w:pPr>
    </w:p>
    <w:p>
      <w:pPr>
        <w:spacing w:after="200" w:line="276"/>
      </w:pPr>
      <w:r>
        <w:rPr>
          <w:rFonts w:ascii="Arial" w:cs="Arial" w:eastAsia="Arial" w:hAnsi="Arial"/>
          <w:color w:val="333333"/>
          <w:sz w:val="22"/>
          <w:szCs w:val="22"/>
        </w:rPr>
        <w:t xml:space="preserve">The confirmed breakout threshold of 1.4 (meaning 40 percent above the 50-day average volume) is the IBD standard and should rarely be changed. However, the buy zone and approaching thresholds default to zero, which means no volume requirement. This is intentional: you want early warning that a stock is entering the buy zone even before volume surges, because volume typically accelerates as the breakout progresses. If you find these alerts too noisy, set them to 0.8 or 1.0 to require at least average volume.</w:t>
      </w:r>
    </w:p>
    <w:p>
      <w:pPr>
        <w:spacing w:before="200" w:after="120"/>
      </w:pPr>
      <w:r>
        <w:rPr>
          <w:rFonts w:ascii="Arial" w:cs="Arial" w:eastAsia="Arial" w:hAnsi="Arial"/>
          <w:b/>
          <w:bCs/>
          <w:color w:val="2E74B5"/>
          <w:sz w:val="24"/>
          <w:szCs w:val="24"/>
        </w:rPr>
        <w:t xml:space="preserve">Cooldown Settings</w:t>
      </w:r>
    </w:p>
    <w:p>
      <w:pPr>
        <w:spacing w:after="200" w:line="276"/>
      </w:pPr>
      <w:r>
        <w:rPr>
          <w:rFonts w:ascii="Arial" w:cs="Arial" w:eastAsia="Arial" w:hAnsi="Arial"/>
          <w:color w:val="333333"/>
          <w:sz w:val="22"/>
          <w:szCs w:val="22"/>
        </w:rPr>
        <w:t xml:space="preserve">Cooldown settings prevent alert spam by suppressing repeated alerts for the same symbol within a specified time window. Each alert type has its own cooldown because different alerts have different urgency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c>
          <w:tcPr>
            <w:tcW w:type="dxa" w:w="30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Alert Type</w:t>
            </w:r>
          </w:p>
        </w:tc>
        <w:tc>
          <w:tcPr>
            <w:tcW w:type="dxa" w:w="18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Default (min)</w:t>
            </w:r>
          </w:p>
        </w:tc>
        <w:tc>
          <w:tcPr>
            <w:tcW w:type="dxa" w:w="20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c>
          <w:tcPr>
            <w:tcW w:type="dxa" w:w="256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Adjustable?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hard_stop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0 (no cooldown)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Always alert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 but not recommended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stop_warning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120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2-hour buffer</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trailing_stop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0 (no cooldown)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Always alert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 but not recommended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pyramid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240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4-hour buffer</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tp1 / tp2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1440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Daily (24 hours)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ma_50_warning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1440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Daily</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earnings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1440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Daily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late_stage / ten_week_sell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10080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Weekly</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Yes</w:t>
            </w:r>
          </w:p>
        </w:tc>
      </w:tr>
    </w:tbl>
    <w:p>
      <w:pPr>
        <w:spacing w:before="80" w:after="0"/>
      </w:pPr>
    </w:p>
    <w:p>
      <w:pPr>
        <w:spacing w:after="200" w:line="276"/>
      </w:pPr>
      <w:r>
        <w:rPr>
          <w:rFonts w:ascii="Arial" w:cs="Arial" w:eastAsia="Arial" w:hAnsi="Arial"/>
          <w:color w:val="333333"/>
          <w:sz w:val="22"/>
          <w:szCs w:val="22"/>
        </w:rPr>
        <w:t xml:space="preserve">The general principle is that urgent alerts (stop violations) have no cooldown—you always want to know immediately. Informational alerts (earnings warnings, late-stage notifications) have longer cooldowns because they represent persistent conditions rather than discrete events. Adjust these based on your personal tolerance for notification frequency.</w:t>
      </w:r>
    </w:p>
    <w:p>
      <w:pPr>
        <w:spacing w:before="200" w:after="120"/>
      </w:pPr>
      <w:r>
        <w:rPr>
          <w:rFonts w:ascii="Arial" w:cs="Arial" w:eastAsia="Arial" w:hAnsi="Arial"/>
          <w:b/>
          <w:bCs/>
          <w:color w:val="2E74B5"/>
          <w:sz w:val="24"/>
          <w:szCs w:val="24"/>
        </w:rPr>
        <w:t xml:space="preserve">Alert Routing</w:t>
      </w:r>
    </w:p>
    <w:p>
      <w:pPr>
        <w:spacing w:after="200" w:line="276"/>
      </w:pPr>
      <w:r>
        <w:rPr>
          <w:rFonts w:ascii="Arial" w:cs="Arial" w:eastAsia="Arial" w:hAnsi="Arial"/>
          <w:color w:val="333333"/>
          <w:sz w:val="22"/>
          <w:szCs w:val="22"/>
        </w:rPr>
        <w:t xml:space="preserve">The alert routing system lets you control which alerts go to Discord and at what log level, without changing how the system generates or stores alerts. Every alert still gets written to the database for analytics and the learning engine—routing only affects the notification delivery.</w:t>
      </w:r>
    </w:p>
    <w:p>
      <w:pPr>
        <w:spacing w:after="200" w:line="276"/>
      </w:pPr>
      <w:r>
        <w:rPr>
          <w:rFonts w:ascii="Arial" w:cs="Arial" w:eastAsia="Arial" w:hAnsi="Arial"/>
          <w:color w:val="333333"/>
          <w:sz w:val="22"/>
          <w:szCs w:val="22"/>
        </w:rPr>
        <w:t xml:space="preserve">To suppress Discord notifications for a specific alert type while keeping database logging, add an alert_routing section to your user_config.yaml. For example, if you find the P1_EXTENDED pyramid alerts too frequent, you can set them to log at DEBUG level with Discord disabled. The alert still gets recorded, but your phone stops buzzing about it. This is preferable to disabling the alert entirely, because the data remains available for learning engine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none" w:sz="0"/>
              <w:right w:val="single" w:color="2E74B5" w:sz="6"/>
            </w:tcBorders>
            <w:shd w:fill="E8F4FD" w:val="clear"/>
            <w:tcMar>
              <w:top w:type="dxa" w:w="100"/>
              <w:left w:type="dxa" w:w="160"/>
              <w:bottom w:type="dxa" w:w="100"/>
              <w:right w:type="dxa" w:w="160"/>
            </w:tcMar>
          </w:tcPr>
          <w:p>
            <w:pPr>
              <w:spacing w:after="40"/>
            </w:pPr>
            <w:r>
              <w:rPr>
                <w:rFonts w:ascii="Arial" w:cs="Arial" w:eastAsia="Arial" w:hAnsi="Arial"/>
                <w:b/>
                <w:bCs/>
                <w:color w:val="2E74B5"/>
                <w:sz w:val="22"/>
                <w:szCs w:val="22"/>
              </w:rPr>
              <w:t xml:space="preserve">💻 How the System Helps</w:t>
            </w:r>
          </w:p>
        </w:tc>
      </w:tr>
      <w:tr>
        <w:tc>
          <w:tcPr>
            <w:tcW w:type="dxa" w:w="9360"/>
            <w:tcBorders>
              <w:top w:val="none" w:sz="0"/>
              <w:left w:val="single" w:color="2E74B5" w:sz="6"/>
              <w:bottom w:val="single" w:color="2E74B5" w:sz="6"/>
              <w:right w:val="single" w:color="2E74B5" w:sz="6"/>
            </w:tcBorders>
            <w:shd w:fill="E8F4FD" w:val="clear"/>
            <w:tcMar>
              <w:top w:type="dxa" w:w="100"/>
              <w:left w:type="dxa" w:w="160"/>
              <w:bottom w:type="dxa" w:w="100"/>
              <w:right w:type="dxa" w:w="160"/>
            </w:tcMar>
          </w:tcPr>
          <w:p>
            <w:pPr>
              <w:spacing w:after="80" w:line="260"/>
            </w:pPr>
            <w:r>
              <w:rPr>
                <w:rFonts w:ascii="Arial" w:cs="Arial" w:eastAsia="Arial" w:hAnsi="Arial"/>
                <w:color w:val="333333"/>
                <w:sz w:val="20"/>
                <w:szCs w:val="20"/>
              </w:rPr>
              <w:t xml:space="preserve">The GUI settings panel provides a visual interface for editing alert thresholds without touching YAML files.</w:t>
            </w:r>
          </w:p>
          <w:p>
            <w:pPr>
              <w:spacing w:after="80" w:line="260"/>
            </w:pPr>
            <w:r>
              <w:rPr>
                <w:rFonts w:ascii="Arial" w:cs="Arial" w:eastAsia="Arial" w:hAnsi="Arial"/>
                <w:color w:val="333333"/>
                <w:sz w:val="20"/>
                <w:szCs w:val="20"/>
              </w:rPr>
              <w:t xml:space="preserve">Changes made through the GUI are written to user_config.yaml automatically.</w:t>
            </w:r>
          </w:p>
          <w:p>
            <w:pPr>
              <w:spacing w:after="80" w:line="260"/>
            </w:pPr>
            <w:r>
              <w:rPr>
                <w:rFonts w:ascii="Arial" w:cs="Arial" w:eastAsia="Arial" w:hAnsi="Arial"/>
                <w:color w:val="333333"/>
                <w:sz w:val="20"/>
                <w:szCs w:val="20"/>
              </w:rPr>
              <w:t xml:space="preserve">The IPC reload_config command applies changes without restarting the Windows service.</w:t>
            </w:r>
          </w:p>
          <w:p>
            <w:pPr>
              <w:spacing w:after="80" w:line="260"/>
            </w:pPr>
            <w:r>
              <w:rPr>
                <w:rFonts w:ascii="Arial" w:cs="Arial" w:eastAsia="Arial" w:hAnsi="Arial"/>
                <w:color w:val="333333"/>
                <w:sz w:val="20"/>
                <w:szCs w:val="20"/>
              </w:rPr>
              <w:t xml:space="preserve">A validation step checks that your YAML is syntactically correct before applying changes.</w:t>
            </w:r>
          </w:p>
        </w:tc>
      </w:tr>
    </w:tbl>
    <w:p>
      <w:r>
        <w:br w:type="page"/>
      </w:r>
    </w:p>
    <w:p>
      <w:pPr>
        <w:pStyle w:val="Heading1"/>
        <w:spacing w:before="360" w:after="200"/>
      </w:pPr>
      <w:r>
        <w:rPr>
          <w:rFonts w:ascii="Arial" w:cs="Arial" w:eastAsia="Arial" w:hAnsi="Arial"/>
          <w:b/>
          <w:bCs/>
          <w:color w:val="1F4D78"/>
          <w:sz w:val="36"/>
          <w:szCs w:val="36"/>
        </w:rPr>
        <w:t xml:space="preserve">Chapter 32: Scoring Weight Customization</w:t>
      </w:r>
    </w:p>
    <w:p>
      <w:pPr>
        <w:spacing w:after="200" w:line="276"/>
      </w:pPr>
      <w:r>
        <w:rPr>
          <w:rFonts w:ascii="Arial" w:cs="Arial" w:eastAsia="Arial" w:hAnsi="Arial"/>
          <w:color w:val="333333"/>
          <w:sz w:val="22"/>
          <w:szCs w:val="22"/>
        </w:rPr>
        <w:t xml:space="preserve">The scoring engine is the heart of the CANSLIM Monitor’s stock evaluation system. It takes the raw data about a stock’s setup—pattern type, base stage, depth, length, RS Rating, and various technical indicators—and produces a composite score that maps to a letter grade. The weights assigned to each factor determine which characteristics the system values most heavily when ranking setups.</w:t>
      </w:r>
    </w:p>
    <w:p>
      <w:pPr>
        <w:spacing w:after="200" w:line="276"/>
      </w:pPr>
      <w:r>
        <w:rPr>
          <w:rFonts w:ascii="Arial" w:cs="Arial" w:eastAsia="Arial" w:hAnsi="Arial"/>
          <w:color w:val="333333"/>
          <w:sz w:val="22"/>
          <w:szCs w:val="22"/>
        </w:rPr>
        <w:t xml:space="preserve">Scoring weights are configured in a separate file, scoring_config.yaml, which is loaded by the ScoringEngine class. This separation keeps scoring logic independent from service configuration, allowing you to version-control scoring changes separately and even run multiple scoring configurations for A/B testing.</w:t>
      </w:r>
    </w:p>
    <w:p>
      <w:pPr>
        <w:pStyle w:val="Heading2"/>
        <w:spacing w:before="280" w:after="160"/>
      </w:pPr>
      <w:r>
        <w:rPr>
          <w:rFonts w:ascii="Arial" w:cs="Arial" w:eastAsia="Arial" w:hAnsi="Arial"/>
          <w:b/>
          <w:bCs/>
          <w:color w:val="2E74B5"/>
          <w:sz w:val="28"/>
          <w:szCs w:val="28"/>
        </w:rPr>
        <w:t xml:space="preserve">32.1 Understanding the Scoring Architecture</w:t>
      </w:r>
    </w:p>
    <w:p>
      <w:pPr>
        <w:spacing w:after="200" w:line="276"/>
      </w:pPr>
      <w:r>
        <w:rPr>
          <w:rFonts w:ascii="Arial" w:cs="Arial" w:eastAsia="Arial" w:hAnsi="Arial"/>
          <w:color w:val="333333"/>
          <w:sz w:val="22"/>
          <w:szCs w:val="22"/>
        </w:rPr>
        <w:t xml:space="preserve">The scoring system divides factors into two categories: static factors and dynamic factors. Static factors come from your Google Sheet and MarketSurge data—they include pattern type, base stage, base depth, base length, and RS Rating. These are populated when you add a stock to your watchlist and they change infrequently. Dynamic factors come from real-time technical analysis—they include the up/down volume ratio, the stock’s position relative to its 50-day moving average, the number of support bounces from the 10-week line, the RS trend direction, and volume dry-up patterns. These are calculated from historical price data each time the scoring engine runs.</w:t>
      </w:r>
    </w:p>
    <w:p>
      <w:pPr>
        <w:spacing w:after="200" w:line="276"/>
      </w:pPr>
      <w:r>
        <w:rPr>
          <w:rFonts w:ascii="Arial" w:cs="Arial" w:eastAsia="Arial" w:hAnsi="Arial"/>
          <w:color w:val="333333"/>
          <w:sz w:val="22"/>
          <w:szCs w:val="22"/>
        </w:rPr>
        <w:t xml:space="preserve">The final score is the sum of static and dynamic factor scores. This total maps to a letter grade using configurable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A+</w:t>
            </w:r>
          </w:p>
        </w:tc>
        <w:tc>
          <w:tcPr>
            <w:tcW w:type="dxa" w:w="156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A</w:t>
            </w:r>
          </w:p>
        </w:tc>
        <w:tc>
          <w:tcPr>
            <w:tcW w:type="dxa" w:w="156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B+</w:t>
            </w:r>
          </w:p>
        </w:tc>
        <w:tc>
          <w:tcPr>
            <w:tcW w:type="dxa" w:w="156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B</w:t>
            </w:r>
          </w:p>
        </w:tc>
        <w:tc>
          <w:tcPr>
            <w:tcW w:type="dxa" w:w="156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C+</w:t>
            </w:r>
          </w:p>
        </w:tc>
        <w:tc>
          <w:tcPr>
            <w:tcW w:type="dxa" w:w="156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C / D / F</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 20 pts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 15 pts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 12 pts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 9 pts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 7 pts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 5 / ≥ 3 / &lt; 3</w:t>
            </w:r>
          </w:p>
        </w:tc>
      </w:tr>
    </w:tbl>
    <w:p>
      <w:pPr>
        <w:spacing w:before="80" w:after="0"/>
      </w:pPr>
    </w:p>
    <w:p>
      <w:pPr>
        <w:pStyle w:val="Heading2"/>
        <w:spacing w:before="280" w:after="160"/>
      </w:pPr>
      <w:r>
        <w:rPr>
          <w:rFonts w:ascii="Arial" w:cs="Arial" w:eastAsia="Arial" w:hAnsi="Arial"/>
          <w:b/>
          <w:bCs/>
          <w:color w:val="2E74B5"/>
          <w:sz w:val="28"/>
          <w:szCs w:val="28"/>
        </w:rPr>
        <w:t xml:space="preserve">32.2 Static Factor Weights</w:t>
      </w:r>
    </w:p>
    <w:p>
      <w:pPr>
        <w:spacing w:after="200" w:line="276"/>
      </w:pPr>
      <w:r>
        <w:rPr>
          <w:rFonts w:ascii="Arial" w:cs="Arial" w:eastAsia="Arial" w:hAnsi="Arial"/>
          <w:color w:val="333333"/>
          <w:sz w:val="22"/>
          <w:szCs w:val="22"/>
        </w:rPr>
        <w:t xml:space="preserve">Static factors are the foundation of the score. They represent the characteristics that IBD research has identified as most predictive of breakout success over decades of historical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2200"/>
        <w:gridCol w:w="3400"/>
      </w:tblGrid>
      <w:tr>
        <w:tc>
          <w:tcPr>
            <w:tcW w:type="dxa" w:w="22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Factor</w:t>
            </w:r>
          </w:p>
        </w:tc>
        <w:tc>
          <w:tcPr>
            <w:tcW w:type="dxa" w:w="156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Points</w:t>
            </w:r>
          </w:p>
        </w:tc>
        <w:tc>
          <w:tcPr>
            <w:tcW w:type="dxa" w:w="22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Range</w:t>
            </w:r>
          </w:p>
        </w:tc>
        <w:tc>
          <w:tcPr>
            <w:tcW w:type="dxa" w:w="34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Pattern Type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+6 to +10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Per canonical list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Cup w/Handle = 10, Double Bottom = 9, Flat = 8, etc.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RS Rating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+1 to +4</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80–99</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+1 per 10 pts above 80; floor rule below 70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Base Stage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0 to −8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Stage 1–4+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Stage 1 = 0 (best), Stage 4+ = −8 (worst)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Base Depth</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0 to +1</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≤25% ideal</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Normal depth = 0; shallow/ideal depth =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Base Length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 to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5–52 weeks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Too short (−1), ideal 7+ weeks (+1)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Base-on-Base Bonus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Boolean</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Awarded when base forms on top of prior base</w:t>
            </w:r>
          </w:p>
        </w:tc>
      </w:tr>
    </w:tbl>
    <w:p>
      <w:pPr>
        <w:spacing w:before="80" w:after="0"/>
      </w:pPr>
    </w:p>
    <w:p>
      <w:pPr>
        <w:spacing w:after="200" w:line="276"/>
      </w:pPr>
      <w:r>
        <w:rPr>
          <w:rFonts w:ascii="Arial" w:cs="Arial" w:eastAsia="Arial" w:hAnsi="Arial"/>
          <w:color w:val="333333"/>
          <w:sz w:val="22"/>
          <w:szCs w:val="22"/>
        </w:rPr>
        <w:t xml:space="preserve">To customize these weights, edit the corresponding sections in scoring_config.yaml. Each pattern type has its own score and tier assignment. Stage penalties are configured per stage number. Depth and length thresholds define the boundaries between ideal, normal, and excessive values.</w:t>
      </w:r>
    </w:p>
    <w:p>
      <w:pPr>
        <w:spacing w:after="200" w:line="276"/>
      </w:pPr>
      <w:r>
        <w:rPr>
          <w:rFonts w:ascii="Arial" w:cs="Arial" w:eastAsia="Arial" w:hAnsi="Arial"/>
          <w:color w:val="333333"/>
          <w:sz w:val="22"/>
          <w:szCs w:val="22"/>
        </w:rPr>
        <w:t xml:space="preserve">The RS Rating floor rule deserves special attention. This rule caps any stock with an RS Rating below 70 at a maximum grade of C, regardless of how strong its other factors might be. The floor threshold (70) and the maximum grade (C) are both configurable in the YAML file. However, based on the data showing zero percent success rate below RS 70, we strongly recommend leaving this rule unchanged. If anything, consider raising the floor to 80 as you gain experience.</w:t>
      </w:r>
    </w:p>
    <w:p>
      <w:pPr>
        <w:pStyle w:val="Heading2"/>
        <w:spacing w:before="280" w:after="160"/>
      </w:pPr>
      <w:r>
        <w:rPr>
          <w:rFonts w:ascii="Arial" w:cs="Arial" w:eastAsia="Arial" w:hAnsi="Arial"/>
          <w:b/>
          <w:bCs/>
          <w:color w:val="2E74B5"/>
          <w:sz w:val="28"/>
          <w:szCs w:val="28"/>
        </w:rPr>
        <w:t xml:space="preserve">32.3 Dynamic Factor Weights</w:t>
      </w:r>
    </w:p>
    <w:p>
      <w:pPr>
        <w:spacing w:after="200" w:line="276"/>
      </w:pPr>
      <w:r>
        <w:rPr>
          <w:rFonts w:ascii="Arial" w:cs="Arial" w:eastAsia="Arial" w:hAnsi="Arial"/>
          <w:color w:val="333333"/>
          <w:sz w:val="22"/>
          <w:szCs w:val="22"/>
        </w:rPr>
        <w:t xml:space="preserve">Dynamic factors add real-time technical context to the static foundation. These are calculated from historical price and volume data fetched from your data provider (Polygon or IBKR) and represent the stock’s current technical condition rather than its fundamental setup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5600"/>
      </w:tblGrid>
      <w:tr>
        <w:tc>
          <w:tcPr>
            <w:tcW w:type="dxa" w:w="22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Factor</w:t>
            </w:r>
          </w:p>
        </w:tc>
        <w:tc>
          <w:tcPr>
            <w:tcW w:type="dxa" w:w="156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Max Points</w:t>
            </w:r>
          </w:p>
        </w:tc>
        <w:tc>
          <w:tcPr>
            <w:tcW w:type="dxa" w:w="56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What It Measures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Up/Down Volume Ratio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Ratio of volume on up days vs. down days over 50 periods. Strong accumulation (≥1.5) = +2, Moderate (≥1.0) = +1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50-MA Position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5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Stock’s position relative to its 50-day MA. Above rising MA = +2, Above flat/falling = +1, Below = 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10-Week Support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Number of successful bounces from the 10-week line. 2+ bounces = +2, 1 bounce = +1, None = 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RS Trend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5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Direction of the relative strength line. Trending up = +2, Flat = +1, Trending down = 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Volume Dry-Up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Recent volume contraction vs. average. Significant dry-up (ratio &lt; 0.6) = +2, Moderate = +1</w:t>
            </w:r>
          </w:p>
        </w:tc>
      </w:tr>
    </w:tbl>
    <w:p>
      <w:pPr>
        <w:spacing w:before="80" w:after="0"/>
      </w:pPr>
    </w:p>
    <w:p>
      <w:pPr>
        <w:spacing w:after="200" w:line="276"/>
      </w:pPr>
      <w:r>
        <w:rPr>
          <w:rFonts w:ascii="Arial" w:cs="Arial" w:eastAsia="Arial" w:hAnsi="Arial"/>
          <w:color w:val="333333"/>
          <w:sz w:val="22"/>
          <w:szCs w:val="22"/>
        </w:rPr>
        <w:t xml:space="preserve">Dynamic factors add up to a maximum of 10 additional points, which can push a borderline B+ setup into A territory or elevate a C+ to B range. The thresholds for each dynamic factor (what constitutes strong accumulation versus moderate, for example) are configurable in the dynamic_factors section of scoring_config.yaml.</w:t>
      </w:r>
    </w:p>
    <w:p>
      <w:pPr>
        <w:pStyle w:val="Heading2"/>
        <w:spacing w:before="280" w:after="160"/>
      </w:pPr>
      <w:r>
        <w:rPr>
          <w:rFonts w:ascii="Arial" w:cs="Arial" w:eastAsia="Arial" w:hAnsi="Arial"/>
          <w:b/>
          <w:bCs/>
          <w:color w:val="2E74B5"/>
          <w:sz w:val="28"/>
          <w:szCs w:val="28"/>
        </w:rPr>
        <w:t xml:space="preserve">32.4 Manual Tuning vs. Learning Engine Recommendations</w:t>
      </w:r>
    </w:p>
    <w:p>
      <w:pPr>
        <w:spacing w:after="200" w:line="276"/>
      </w:pPr>
      <w:r>
        <w:rPr>
          <w:rFonts w:ascii="Arial" w:cs="Arial" w:eastAsia="Arial" w:hAnsi="Arial"/>
          <w:color w:val="333333"/>
          <w:sz w:val="22"/>
          <w:szCs w:val="22"/>
        </w:rPr>
        <w:t xml:space="preserve">There are two paths to adjusting scoring weights: manual tuning based on your trading experience and intuition, and data-driven optimization through the learning engine (described in Chapter 29). Both approaches modify the same YAML configuration, and they can be used in combination.</w:t>
      </w:r>
    </w:p>
    <w:p>
      <w:pPr>
        <w:spacing w:after="200" w:line="276"/>
      </w:pPr>
      <w:r>
        <w:rPr>
          <w:rFonts w:ascii="Arial" w:cs="Arial" w:eastAsia="Arial" w:hAnsi="Arial"/>
          <w:color w:val="333333"/>
          <w:sz w:val="22"/>
          <w:szCs w:val="22"/>
        </w:rPr>
        <w:t xml:space="preserve">Manual tuning is appropriate when you have a clear hypothesis based on market observation. For example, if you notice that your flat base breakouts consistently underperform your cup with handle breakouts, you might reduce the flat base score from 8 to 7 or increase the cup with handle score from 10 to 11. Make the change in scoring_config.yaml, restart the scoring engine (or use hot reload), and monitor results for at least two weeks before evaluating.</w:t>
      </w:r>
    </w:p>
    <w:p>
      <w:pPr>
        <w:spacing w:after="200" w:line="276"/>
      </w:pPr>
      <w:r>
        <w:rPr>
          <w:rFonts w:ascii="Arial" w:cs="Arial" w:eastAsia="Arial" w:hAnsi="Arial"/>
          <w:color w:val="333333"/>
          <w:sz w:val="22"/>
          <w:szCs w:val="22"/>
        </w:rPr>
        <w:t xml:space="preserve">Learning engine tuning is appropriate when you have accumulated enough trade outcomes (50+ minimum, 100+ ideal) and want a systematic, statistically rigorous approach to weight optimization. The learning engine analyzes your actual results, identifies which factors predict success in your trading, and proposes specific weight adjustments with confidence intervals and expected accuracy improvements.</w:t>
      </w:r>
    </w:p>
    <w:p>
      <w:pPr>
        <w:spacing w:after="200" w:line="276"/>
      </w:pPr>
      <w:r>
        <w:rPr>
          <w:rFonts w:ascii="Arial" w:cs="Arial" w:eastAsia="Arial" w:hAnsi="Arial"/>
          <w:color w:val="333333"/>
          <w:sz w:val="22"/>
          <w:szCs w:val="22"/>
        </w:rPr>
        <w:t xml:space="preserve">The two approaches complement each other. Use manual tuning for quick adjustments based on clear observations. Use the learning engine for comprehensive optimization when you have sufficient data. Never apply both simultaneously to the same factor—if the learning engine suggests a change to pattern weights, do not also manually adjust pattern weights at the same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single" w:color="D4A017" w:sz="6"/>
              <w:bottom w:val="none" w:sz="0"/>
              <w:right w:val="single" w:color="D4A017" w:sz="6"/>
            </w:tcBorders>
            <w:shd w:fill="FFF3CD" w:val="clear"/>
            <w:tcMar>
              <w:top w:type="dxa" w:w="100"/>
              <w:left w:type="dxa" w:w="160"/>
              <w:bottom w:type="dxa" w:w="100"/>
              <w:right w:type="dxa" w:w="160"/>
            </w:tcMar>
          </w:tcPr>
          <w:p>
            <w:pPr>
              <w:spacing w:after="40"/>
            </w:pPr>
            <w:r>
              <w:rPr>
                <w:rFonts w:ascii="Arial" w:cs="Arial" w:eastAsia="Arial" w:hAnsi="Arial"/>
                <w:b/>
                <w:bCs/>
                <w:color w:val="D4A017"/>
                <w:sz w:val="22"/>
                <w:szCs w:val="22"/>
              </w:rPr>
              <w:t xml:space="preserve">⚠️ Best Practice: Change One Thing at a Time</w:t>
            </w:r>
          </w:p>
        </w:tc>
      </w:tr>
      <w:tr>
        <w:tc>
          <w:tcPr>
            <w:tcW w:type="dxa" w:w="9360"/>
            <w:tcBorders>
              <w:top w:val="none" w:sz="0"/>
              <w:left w:val="single" w:color="D4A017" w:sz="6"/>
              <w:bottom w:val="single" w:color="D4A017" w:sz="6"/>
              <w:right w:val="single" w:color="D4A017" w:sz="6"/>
            </w:tcBorders>
            <w:shd w:fill="FFF3CD" w:val="clear"/>
            <w:tcMar>
              <w:top w:type="dxa" w:w="100"/>
              <w:left w:type="dxa" w:w="160"/>
              <w:bottom w:type="dxa" w:w="100"/>
              <w:right w:type="dxa" w:w="160"/>
            </w:tcMar>
          </w:tcPr>
          <w:p>
            <w:pPr>
              <w:spacing w:after="80" w:line="260"/>
            </w:pPr>
            <w:r>
              <w:rPr>
                <w:rFonts w:ascii="Arial" w:cs="Arial" w:eastAsia="Arial" w:hAnsi="Arial"/>
                <w:color w:val="333333"/>
                <w:sz w:val="20"/>
                <w:szCs w:val="20"/>
              </w:rPr>
              <w:t xml:space="preserve">Change only one factor or threshold per adjustment period.</w:t>
            </w:r>
          </w:p>
          <w:p>
            <w:pPr>
              <w:spacing w:after="80" w:line="260"/>
            </w:pPr>
            <w:r>
              <w:rPr>
                <w:rFonts w:ascii="Arial" w:cs="Arial" w:eastAsia="Arial" w:hAnsi="Arial"/>
                <w:color w:val="333333"/>
                <w:sz w:val="20"/>
                <w:szCs w:val="20"/>
              </w:rPr>
              <w:t xml:space="preserve">Document every change with the date, the old value, the new value, and your rationale.</w:t>
            </w:r>
          </w:p>
          <w:p>
            <w:pPr>
              <w:spacing w:after="80" w:line="260"/>
            </w:pPr>
            <w:r>
              <w:rPr>
                <w:rFonts w:ascii="Arial" w:cs="Arial" w:eastAsia="Arial" w:hAnsi="Arial"/>
                <w:color w:val="333333"/>
                <w:sz w:val="20"/>
                <w:szCs w:val="20"/>
              </w:rPr>
              <w:t xml:space="preserve">Monitor results for at least two weeks (approximately 10–20 trades) before evaluating the impact.</w:t>
            </w:r>
          </w:p>
          <w:p>
            <w:pPr>
              <w:spacing w:after="80" w:line="260"/>
            </w:pPr>
            <w:r>
              <w:rPr>
                <w:rFonts w:ascii="Arial" w:cs="Arial" w:eastAsia="Arial" w:hAnsi="Arial"/>
                <w:color w:val="333333"/>
                <w:sz w:val="20"/>
                <w:szCs w:val="20"/>
              </w:rPr>
              <w:t xml:space="preserve">If performance degrades, revert immediately rather than trying to fix it with additional changes.</w:t>
            </w:r>
          </w:p>
          <w:p>
            <w:pPr>
              <w:spacing w:after="80" w:line="260"/>
            </w:pPr>
            <w:r>
              <w:rPr>
                <w:rFonts w:ascii="Arial" w:cs="Arial" w:eastAsia="Arial" w:hAnsi="Arial"/>
                <w:color w:val="333333"/>
                <w:sz w:val="20"/>
                <w:szCs w:val="20"/>
              </w:rPr>
              <w:t xml:space="preserve">Keep a changelog in your user_config.yaml file using YAML comments (lines starting with #).</w:t>
            </w:r>
          </w:p>
        </w:tc>
      </w:tr>
    </w:tbl>
    <w:p>
      <w:r>
        <w:br w:type="page"/>
      </w:r>
    </w:p>
    <w:p>
      <w:pPr>
        <w:pStyle w:val="Heading1"/>
        <w:spacing w:before="360" w:after="200"/>
      </w:pPr>
      <w:r>
        <w:rPr>
          <w:rFonts w:ascii="Arial" w:cs="Arial" w:eastAsia="Arial" w:hAnsi="Arial"/>
          <w:b/>
          <w:bCs/>
          <w:color w:val="1F4D78"/>
          <w:sz w:val="36"/>
          <w:szCs w:val="36"/>
        </w:rPr>
        <w:t xml:space="preserve">Chapter 33: External Integrations</w:t>
      </w:r>
    </w:p>
    <w:p>
      <w:pPr>
        <w:spacing w:after="200" w:line="276"/>
      </w:pPr>
      <w:r>
        <w:rPr>
          <w:rFonts w:ascii="Arial" w:cs="Arial" w:eastAsia="Arial" w:hAnsi="Arial"/>
          <w:color w:val="333333"/>
          <w:sz w:val="22"/>
          <w:szCs w:val="22"/>
        </w:rPr>
        <w:t xml:space="preserve">The CANSLIM Monitor does not operate in isolation. It connects to several external systems to receive data, deliver alerts, and synchronize state. This chapter covers the setup and configuration of each integration, including troubleshooting guidance for common connection issues.</w:t>
      </w:r>
    </w:p>
    <w:p>
      <w:pPr>
        <w:pStyle w:val="Heading2"/>
        <w:spacing w:before="280" w:after="160"/>
      </w:pPr>
      <w:r>
        <w:rPr>
          <w:rFonts w:ascii="Arial" w:cs="Arial" w:eastAsia="Arial" w:hAnsi="Arial"/>
          <w:b/>
          <w:bCs/>
          <w:color w:val="2E74B5"/>
          <w:sz w:val="28"/>
          <w:szCs w:val="28"/>
        </w:rPr>
        <w:t xml:space="preserve">33.1 IBKR TWS/Gateway Connection</w:t>
      </w:r>
    </w:p>
    <w:p>
      <w:pPr>
        <w:spacing w:after="200" w:line="276"/>
      </w:pPr>
      <w:r>
        <w:rPr>
          <w:rFonts w:ascii="Arial" w:cs="Arial" w:eastAsia="Arial" w:hAnsi="Arial"/>
          <w:color w:val="333333"/>
          <w:sz w:val="22"/>
          <w:szCs w:val="22"/>
        </w:rPr>
        <w:t xml:space="preserve">Interactive Brokers provides the real-time price data that drives the breakout and position monitoring threads. The system connects to either IBKR’s Trader Workstation (TWS) application or IB Gateway—a lighter-weight alternative that runs without a graphical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560"/>
        <w:gridCol w:w="2600"/>
      </w:tblGrid>
      <w:tr>
        <w:tc>
          <w:tcPr>
            <w:tcW w:type="dxa" w:w="24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Application</w:t>
            </w:r>
          </w:p>
        </w:tc>
        <w:tc>
          <w:tcPr>
            <w:tcW w:type="dxa" w:w="18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Paper Port</w:t>
            </w:r>
          </w:p>
        </w:tc>
        <w:tc>
          <w:tcPr>
            <w:tcW w:type="dxa" w:w="256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Live Port</w:t>
            </w:r>
          </w:p>
        </w:tc>
        <w:tc>
          <w:tcPr>
            <w:tcW w:type="dxa" w:w="26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TWS (Trader Workstation)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7497</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7496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Visual trading + monitoring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IB Gateway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4001</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4002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Headless/background use</w:t>
            </w:r>
          </w:p>
        </w:tc>
      </w:tr>
    </w:tbl>
    <w:p>
      <w:pPr>
        <w:spacing w:before="80" w:after="0"/>
      </w:pPr>
    </w:p>
    <w:p>
      <w:pPr>
        <w:spacing w:after="200" w:line="276"/>
      </w:pPr>
      <w:r>
        <w:rPr>
          <w:rFonts w:ascii="Arial" w:cs="Arial" w:eastAsia="Arial" w:hAnsi="Arial"/>
          <w:color w:val="333333"/>
          <w:sz w:val="22"/>
          <w:szCs w:val="22"/>
        </w:rPr>
        <w:t xml:space="preserve">The client_id_base setting in your YAML configuration determines the starting client ID for connections. The system uses separate client IDs for each thread to avoid connection conflicts: the GUI uses the base ID, the breakout thread uses base + 1, the position thread uses base + 2, and the market thread uses base + 3. The default base of 10 means the system uses client IDs 10 through 13. If you run other applications that connect to IBKR (like a trading bot or a charting tool), ensure their client IDs do not overlap with this range. Setting client_id_base to 20 or higher provides a safe buffer.</w:t>
      </w:r>
    </w:p>
    <w:p>
      <w:pPr>
        <w:spacing w:after="200" w:line="276"/>
      </w:pPr>
      <w:r>
        <w:rPr>
          <w:rFonts w:ascii="Arial" w:cs="Arial" w:eastAsia="Arial" w:hAnsi="Arial"/>
          <w:color w:val="333333"/>
          <w:sz w:val="22"/>
          <w:szCs w:val="22"/>
        </w:rPr>
        <w:t xml:space="preserve">The connection settings include a timeout (default 30 seconds) and a max_retries count (default 3). If the initial connection attempt fails, the system will retry up to three times with exponential backoff. If all retries fail, the system falls back to cached prices from the last successful poll and logs a warning. IBKR connections can be disrupted by TWS/Gateway restarts, daily server resets (which occur around midnight ET), or network interruptions.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none" w:sz="0"/>
              <w:right w:val="single" w:color="2E74B5" w:sz="6"/>
            </w:tcBorders>
            <w:shd w:fill="E8F4FD" w:val="clear"/>
            <w:tcMar>
              <w:top w:type="dxa" w:w="100"/>
              <w:left w:type="dxa" w:w="160"/>
              <w:bottom w:type="dxa" w:w="100"/>
              <w:right w:type="dxa" w:w="160"/>
            </w:tcMar>
          </w:tcPr>
          <w:p>
            <w:pPr>
              <w:spacing w:after="40"/>
            </w:pPr>
            <w:r>
              <w:rPr>
                <w:rFonts w:ascii="Arial" w:cs="Arial" w:eastAsia="Arial" w:hAnsi="Arial"/>
                <w:b/>
                <w:bCs/>
                <w:color w:val="2E74B5"/>
                <w:sz w:val="22"/>
                <w:szCs w:val="22"/>
              </w:rPr>
              <w:t xml:space="preserve">💻 Troubleshooting: IBKR Connection Issues</w:t>
            </w:r>
          </w:p>
        </w:tc>
      </w:tr>
      <w:tr>
        <w:tc>
          <w:tcPr>
            <w:tcW w:type="dxa" w:w="9360"/>
            <w:tcBorders>
              <w:top w:val="none" w:sz="0"/>
              <w:left w:val="single" w:color="2E74B5" w:sz="6"/>
              <w:bottom w:val="single" w:color="2E74B5" w:sz="6"/>
              <w:right w:val="single" w:color="2E74B5" w:sz="6"/>
            </w:tcBorders>
            <w:shd w:fill="E8F4FD" w:val="clear"/>
            <w:tcMar>
              <w:top w:type="dxa" w:w="100"/>
              <w:left w:type="dxa" w:w="160"/>
              <w:bottom w:type="dxa" w:w="100"/>
              <w:right w:type="dxa" w:w="160"/>
            </w:tcMar>
          </w:tcPr>
          <w:p>
            <w:pPr>
              <w:spacing w:after="80" w:line="260"/>
            </w:pPr>
            <w:r>
              <w:rPr>
                <w:rFonts w:ascii="Arial" w:cs="Arial" w:eastAsia="Arial" w:hAnsi="Arial"/>
                <w:color w:val="333333"/>
                <w:sz w:val="20"/>
                <w:szCs w:val="20"/>
              </w:rPr>
              <w:t xml:space="preserve">Ensure TWS or IB Gateway is running and logged in before starting the CANSLIM Monitor.</w:t>
            </w:r>
          </w:p>
          <w:p>
            <w:pPr>
              <w:spacing w:after="80" w:line="260"/>
            </w:pPr>
            <w:r>
              <w:rPr>
                <w:rFonts w:ascii="Arial" w:cs="Arial" w:eastAsia="Arial" w:hAnsi="Arial"/>
                <w:color w:val="333333"/>
                <w:sz w:val="20"/>
                <w:szCs w:val="20"/>
              </w:rPr>
              <w:t xml:space="preserve">Verify that API connections are enabled in TWS: File → Global Configuration → API → Settings.</w:t>
            </w:r>
          </w:p>
          <w:p>
            <w:pPr>
              <w:spacing w:after="80" w:line="260"/>
            </w:pPr>
            <w:r>
              <w:rPr>
                <w:rFonts w:ascii="Arial" w:cs="Arial" w:eastAsia="Arial" w:hAnsi="Arial"/>
                <w:color w:val="333333"/>
                <w:sz w:val="20"/>
                <w:szCs w:val="20"/>
              </w:rPr>
              <w:t xml:space="preserve">Check that "Allow connections from localhost only" is enabled for security.</w:t>
            </w:r>
          </w:p>
          <w:p>
            <w:pPr>
              <w:spacing w:after="80" w:line="260"/>
            </w:pPr>
            <w:r>
              <w:rPr>
                <w:rFonts w:ascii="Arial" w:cs="Arial" w:eastAsia="Arial" w:hAnsi="Arial"/>
                <w:color w:val="333333"/>
                <w:sz w:val="20"/>
                <w:szCs w:val="20"/>
              </w:rPr>
              <w:t xml:space="preserve">Confirm the port number matches: 7497 (TWS paper), 7496 (TWS live), 4001 (Gateway paper), 4002 (Gateway live).</w:t>
            </w:r>
          </w:p>
          <w:p>
            <w:pPr>
              <w:spacing w:after="80" w:line="260"/>
            </w:pPr>
            <w:r>
              <w:rPr>
                <w:rFonts w:ascii="Arial" w:cs="Arial" w:eastAsia="Arial" w:hAnsi="Arial"/>
                <w:color w:val="333333"/>
                <w:sz w:val="20"/>
                <w:szCs w:val="20"/>
              </w:rPr>
              <w:t xml:space="preserve">If you see "client ID already in use" errors, another application is using the same client ID range.</w:t>
            </w:r>
          </w:p>
        </w:tc>
      </w:tr>
    </w:tbl>
    <w:p>
      <w:pPr>
        <w:pStyle w:val="Heading2"/>
        <w:spacing w:before="280" w:after="160"/>
      </w:pPr>
      <w:r>
        <w:rPr>
          <w:rFonts w:ascii="Arial" w:cs="Arial" w:eastAsia="Arial" w:hAnsi="Arial"/>
          <w:b/>
          <w:bCs/>
          <w:color w:val="2E74B5"/>
          <w:sz w:val="28"/>
          <w:szCs w:val="28"/>
        </w:rPr>
        <w:t xml:space="preserve">33.2 Discord Webhook Configuration</w:t>
      </w:r>
    </w:p>
    <w:p>
      <w:pPr>
        <w:spacing w:after="200" w:line="276"/>
      </w:pPr>
      <w:r>
        <w:rPr>
          <w:rFonts w:ascii="Arial" w:cs="Arial" w:eastAsia="Arial" w:hAnsi="Arial"/>
          <w:color w:val="333333"/>
          <w:sz w:val="22"/>
          <w:szCs w:val="22"/>
        </w:rPr>
        <w:t xml:space="preserve">Discord webhooks provide the notification delivery system for all CANSLIM Monitor alerts. The system supports multiple webhook URLs, allowing you to route different alert types to different Discord channels for organized monitoring.</w:t>
      </w:r>
    </w:p>
    <w:p>
      <w:pPr>
        <w:spacing w:after="200" w:line="276"/>
      </w:pPr>
      <w:r>
        <w:rPr>
          <w:rFonts w:ascii="Arial" w:cs="Arial" w:eastAsia="Arial" w:hAnsi="Arial"/>
          <w:color w:val="333333"/>
          <w:sz w:val="22"/>
          <w:szCs w:val="22"/>
        </w:rPr>
        <w:t xml:space="preserve">To create a webhook, open your Discord server settings, navigate to Integrations, and create a new webhook for each channel. The recommended channel structure separates alerts by urgency and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Channel</w:t>
            </w:r>
          </w:p>
        </w:tc>
        <w:tc>
          <w:tcPr>
            <w:tcW w:type="dxa" w:w="22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Config Key</w:t>
            </w:r>
          </w:p>
        </w:tc>
        <w:tc>
          <w:tcPr>
            <w:tcW w:type="dxa" w:w="456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Alert Types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#breakout-alerts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webhooks.breakout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Breakout confirmed, in buy zone, approaching pivot, extended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#position-alerts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webhooks.position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Pyramid, profit target, stop warning, MA warnings, health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#market-alerts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webhooks.market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Distribution days, follow-through days, regime changes, morning summary</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#system-alerts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webhooks.system</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Service start/stop, connection errors, sync failures</w:t>
            </w:r>
          </w:p>
        </w:tc>
      </w:tr>
    </w:tbl>
    <w:p>
      <w:pPr>
        <w:spacing w:before="80" w:after="0"/>
      </w:pPr>
    </w:p>
    <w:p>
      <w:pPr>
        <w:spacing w:after="200" w:line="276"/>
      </w:pPr>
      <w:r>
        <w:rPr>
          <w:rFonts w:ascii="Arial" w:cs="Arial" w:eastAsia="Arial" w:hAnsi="Arial"/>
          <w:color w:val="333333"/>
          <w:sz w:val="22"/>
          <w:szCs w:val="22"/>
        </w:rPr>
        <w:t xml:space="preserve">If you prefer a simpler setup, you can use a single webhook URL for all alert types by setting it as the default_webhook. Channel-specific webhooks take priority—if a breakout webhook is configured, breakout alerts go there; if not, they fall back to the default webhook. The rate_limit setting (default 30 messages per minute) prevents the system from exceeding Discord’s API limits during periods of high market activity.</w:t>
      </w:r>
    </w:p>
    <w:p>
      <w:pPr>
        <w:spacing w:after="200" w:line="276"/>
      </w:pPr>
      <w:r>
        <w:rPr>
          <w:rFonts w:ascii="Arial" w:cs="Arial" w:eastAsia="Arial" w:hAnsi="Arial"/>
          <w:color w:val="333333"/>
          <w:sz w:val="22"/>
          <w:szCs w:val="22"/>
        </w:rPr>
        <w:t xml:space="preserve">Each alert type uses a distinct embed color in Discord, making it easy to visually scan your alert feed. Breakout alerts appear in green, pyramid signals in blue, stop warnings in red, profit targets in gold, and market regime alerts in purple. These colors are configurable in the discord.colors section of your config file.</w:t>
      </w:r>
    </w:p>
    <w:p>
      <w:pPr>
        <w:pStyle w:val="Heading2"/>
        <w:spacing w:before="280" w:after="160"/>
      </w:pPr>
      <w:r>
        <w:rPr>
          <w:rFonts w:ascii="Arial" w:cs="Arial" w:eastAsia="Arial" w:hAnsi="Arial"/>
          <w:b/>
          <w:bCs/>
          <w:color w:val="2E74B5"/>
          <w:sz w:val="28"/>
          <w:szCs w:val="28"/>
        </w:rPr>
        <w:t xml:space="preserve">33.3 Google Sheets Synchronization</w:t>
      </w:r>
    </w:p>
    <w:p>
      <w:pPr>
        <w:spacing w:after="200" w:line="276"/>
      </w:pPr>
      <w:r>
        <w:rPr>
          <w:rFonts w:ascii="Arial" w:cs="Arial" w:eastAsia="Arial" w:hAnsi="Arial"/>
          <w:color w:val="333333"/>
          <w:sz w:val="22"/>
          <w:szCs w:val="22"/>
        </w:rPr>
        <w:t xml:space="preserve">Google Sheets serves as the bridge between the CANSLIM Monitor’s SQLite database and external tools—primarily TrendSpider for chart overlays. The sync direction is outbound: the SQLite database is the source of truth, and changes are pushed to Google Sheets on a configurable interval.</w:t>
      </w:r>
    </w:p>
    <w:p>
      <w:pPr>
        <w:spacing w:after="200" w:line="276"/>
      </w:pPr>
      <w:r>
        <w:rPr>
          <w:rFonts w:ascii="Arial" w:cs="Arial" w:eastAsia="Arial" w:hAnsi="Arial"/>
          <w:color w:val="333333"/>
          <w:sz w:val="22"/>
          <w:szCs w:val="22"/>
        </w:rPr>
        <w:t xml:space="preserve">Setting up Google Sheets integration requires a Google Cloud service account with Sheets API access. The credentials file (a JSON file downloaded from the Google Cloud Console) is referenced in your configuration. The service account’s email address must be shared as an editor on your target spreadsheet. The column mapping follows the CANSLIM Position Manager V36 Template structure, with columns A through AO covering all position data from portfolio assignment through calculated fields like stop prices and profit targets.</w:t>
      </w:r>
    </w:p>
    <w:p>
      <w:pPr>
        <w:spacing w:after="200" w:line="276"/>
      </w:pPr>
      <w:r>
        <w:rPr>
          <w:rFonts w:ascii="Arial" w:cs="Arial" w:eastAsia="Arial" w:hAnsi="Arial"/>
          <w:color w:val="333333"/>
          <w:sz w:val="22"/>
          <w:szCs w:val="22"/>
        </w:rPr>
        <w:t xml:space="preserve">The sync process works incrementally: only positions with the needs_sheet_sync flag set are pushed to the sheet on each cycle. This minimizes API calls and prevents hitting Google’s rate limits. When you modify a position in the GUI or when the service detects a state change, the flag is set automatically. A force sync option in the GUI pushes all active positions regardless of the flag, which is useful after database maintenance or if you suspect the sheet is out of sync.</w:t>
      </w:r>
    </w:p>
    <w:p>
      <w:pPr>
        <w:spacing w:after="200" w:line="276"/>
      </w:pPr>
      <w:r>
        <w:rPr>
          <w:rFonts w:ascii="Arial" w:cs="Arial" w:eastAsia="Arial" w:hAnsi="Arial"/>
          <w:color w:val="333333"/>
          <w:sz w:val="22"/>
          <w:szCs w:val="22"/>
        </w:rPr>
        <w:t xml:space="preserve">Closed positions (state less than zero) are automatically removed from the sheet during sync to keep the active watchlist clean. Orphaned rows—rows in the sheet that no longer correspond to any database record—are also cleaned up automatically.</w:t>
      </w:r>
    </w:p>
    <w:p>
      <w:pPr>
        <w:pStyle w:val="Heading2"/>
        <w:spacing w:before="280" w:after="160"/>
      </w:pPr>
      <w:r>
        <w:rPr>
          <w:rFonts w:ascii="Arial" w:cs="Arial" w:eastAsia="Arial" w:hAnsi="Arial"/>
          <w:b/>
          <w:bCs/>
          <w:color w:val="2E74B5"/>
          <w:sz w:val="28"/>
          <w:szCs w:val="28"/>
        </w:rPr>
        <w:t xml:space="preserve">33.4 Data Provider Configuration</w:t>
      </w:r>
    </w:p>
    <w:p>
      <w:pPr>
        <w:spacing w:after="200" w:line="276"/>
      </w:pPr>
      <w:r>
        <w:rPr>
          <w:rFonts w:ascii="Arial" w:cs="Arial" w:eastAsia="Arial" w:hAnsi="Arial"/>
          <w:color w:val="333333"/>
          <w:sz w:val="22"/>
          <w:szCs w:val="22"/>
        </w:rPr>
        <w:t xml:space="preserve">The CANSLIM Monitor uses a provider-agnostic data architecture that supports multiple sources for historical price and volume data. IBKR provides real-time quotes during market hours, while Polygon (or its Massive API equivalent) provides the historical bars needed for dynamic scoring calculations like up/down volume ratios, moving average positions, and volume dry-up analysis.</w:t>
      </w:r>
    </w:p>
    <w:p>
      <w:pPr>
        <w:spacing w:after="200" w:line="276"/>
      </w:pPr>
      <w:r>
        <w:rPr>
          <w:rFonts w:ascii="Arial" w:cs="Arial" w:eastAsia="Arial" w:hAnsi="Arial"/>
          <w:color w:val="333333"/>
          <w:sz w:val="22"/>
          <w:szCs w:val="22"/>
        </w:rPr>
        <w:t xml:space="preserve">The Polygon API key is configured in the polygon section of your YAML file. The system makes efficient use of API calls by caching historical data and only requesting incremental updates. A typical scoring cycle for 30 watchlist stocks requires approximately 30 API calls for daily bars—well within Polygon’s free tier limits for most users.</w:t>
      </w:r>
    </w:p>
    <w:p>
      <w:pPr>
        <w:spacing w:after="200" w:line="276"/>
      </w:pPr>
      <w:r>
        <w:rPr>
          <w:rFonts w:ascii="Arial" w:cs="Arial" w:eastAsia="Arial" w:hAnsi="Arial"/>
          <w:color w:val="333333"/>
          <w:sz w:val="22"/>
          <w:szCs w:val="22"/>
        </w:rPr>
        <w:t xml:space="preserve">The data abstraction layer is designed so that additional providers can be added without modifying the core scoring or monitoring logic. Each provider implements a standard interface for fetching daily OHLCV bars, and the service controller routes requests to the configured provider. This architecture protects against vendor lock-in and supports users with different data access arrangements.</w:t>
      </w:r>
    </w:p>
    <w:p>
      <w:pPr>
        <w:pStyle w:val="Heading2"/>
        <w:spacing w:before="280" w:after="160"/>
      </w:pPr>
      <w:r>
        <w:rPr>
          <w:rFonts w:ascii="Arial" w:cs="Arial" w:eastAsia="Arial" w:hAnsi="Arial"/>
          <w:b/>
          <w:bCs/>
          <w:color w:val="2E74B5"/>
          <w:sz w:val="28"/>
          <w:szCs w:val="28"/>
        </w:rPr>
        <w:t xml:space="preserve">33.5 Database and Backup Configuration</w:t>
      </w:r>
    </w:p>
    <w:p>
      <w:pPr>
        <w:spacing w:after="200" w:line="276"/>
      </w:pPr>
      <w:r>
        <w:rPr>
          <w:rFonts w:ascii="Arial" w:cs="Arial" w:eastAsia="Arial" w:hAnsi="Arial"/>
          <w:color w:val="333333"/>
          <w:sz w:val="22"/>
          <w:szCs w:val="22"/>
        </w:rPr>
        <w:t xml:space="preserve">The SQLite database is the single source of truth for all position data, alert history, market regime records, and learning engine outcomes. The database path is configured in the database section of your YAML file, with a default of canslim_positions.db in the working directory.</w:t>
      </w:r>
    </w:p>
    <w:p>
      <w:pPr>
        <w:spacing w:after="200" w:line="276"/>
      </w:pPr>
      <w:r>
        <w:rPr>
          <w:rFonts w:ascii="Arial" w:cs="Arial" w:eastAsia="Arial" w:hAnsi="Arial"/>
          <w:color w:val="333333"/>
          <w:sz w:val="22"/>
          <w:szCs w:val="22"/>
        </w:rPr>
        <w:t xml:space="preserve">Automatic backups are configured with two settings: backup_interval (default 86400 seconds, or once daily) and backup_retain (default 7, keeping one week of backups). Backups are created as timestamped copies of the database file in a backups subdirectory. The backup process uses SQLite’s online backup API, which creates a consistent snapshot even while the service is running and writing data.</w:t>
      </w:r>
    </w:p>
    <w:p>
      <w:pPr>
        <w:spacing w:after="200" w:line="276"/>
      </w:pPr>
      <w:r>
        <w:rPr>
          <w:rFonts w:ascii="Arial" w:cs="Arial" w:eastAsia="Arial" w:hAnsi="Arial"/>
          <w:color w:val="333333"/>
          <w:sz w:val="22"/>
          <w:szCs w:val="22"/>
        </w:rPr>
        <w:t xml:space="preserve">For critical trading periods—earnings season, major market moves—consider reducing the backup interval to every 4 hours (14400 seconds) and increasing retention to 14 days. The storage cost is minimal since each database backup is typically under 10 megabytes, but the peace of mind from having frequent recovery points is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none" w:sz="0"/>
              <w:right w:val="single" w:color="2E74B5" w:sz="6"/>
            </w:tcBorders>
            <w:shd w:fill="E8F4FD" w:val="clear"/>
            <w:tcMar>
              <w:top w:type="dxa" w:w="100"/>
              <w:left w:type="dxa" w:w="160"/>
              <w:bottom w:type="dxa" w:w="100"/>
              <w:right w:type="dxa" w:w="160"/>
            </w:tcMar>
          </w:tcPr>
          <w:p>
            <w:pPr>
              <w:spacing w:after="40"/>
            </w:pPr>
            <w:r>
              <w:rPr>
                <w:rFonts w:ascii="Arial" w:cs="Arial" w:eastAsia="Arial" w:hAnsi="Arial"/>
                <w:b/>
                <w:bCs/>
                <w:color w:val="2E74B5"/>
                <w:sz w:val="22"/>
                <w:szCs w:val="22"/>
              </w:rPr>
              <w:t xml:space="preserve">💻 Recovery Procedure</w:t>
            </w:r>
          </w:p>
        </w:tc>
      </w:tr>
      <w:tr>
        <w:tc>
          <w:tcPr>
            <w:tcW w:type="dxa" w:w="9360"/>
            <w:tcBorders>
              <w:top w:val="none" w:sz="0"/>
              <w:left w:val="single" w:color="2E74B5" w:sz="6"/>
              <w:bottom w:val="single" w:color="2E74B5" w:sz="6"/>
              <w:right w:val="single" w:color="2E74B5" w:sz="6"/>
            </w:tcBorders>
            <w:shd w:fill="E8F4FD" w:val="clear"/>
            <w:tcMar>
              <w:top w:type="dxa" w:w="100"/>
              <w:left w:type="dxa" w:w="160"/>
              <w:bottom w:type="dxa" w:w="100"/>
              <w:right w:type="dxa" w:w="160"/>
            </w:tcMar>
          </w:tcPr>
          <w:p>
            <w:pPr>
              <w:spacing w:after="80" w:line="260"/>
            </w:pPr>
            <w:r>
              <w:rPr>
                <w:rFonts w:ascii="Arial" w:cs="Arial" w:eastAsia="Arial" w:hAnsi="Arial"/>
                <w:color w:val="333333"/>
                <w:sz w:val="20"/>
                <w:szCs w:val="20"/>
              </w:rPr>
              <w:t xml:space="preserve">Stop the CANSLIM Monitor service.</w:t>
            </w:r>
          </w:p>
          <w:p>
            <w:pPr>
              <w:spacing w:after="80" w:line="260"/>
            </w:pPr>
            <w:r>
              <w:rPr>
                <w:rFonts w:ascii="Arial" w:cs="Arial" w:eastAsia="Arial" w:hAnsi="Arial"/>
                <w:color w:val="333333"/>
                <w:sz w:val="20"/>
                <w:szCs w:val="20"/>
              </w:rPr>
              <w:t xml:space="preserve">Locate the desired backup file in the backups/ directory (named with timestamps).</w:t>
            </w:r>
          </w:p>
          <w:p>
            <w:pPr>
              <w:spacing w:after="80" w:line="260"/>
            </w:pPr>
            <w:r>
              <w:rPr>
                <w:rFonts w:ascii="Arial" w:cs="Arial" w:eastAsia="Arial" w:hAnsi="Arial"/>
                <w:color w:val="333333"/>
                <w:sz w:val="20"/>
                <w:szCs w:val="20"/>
              </w:rPr>
              <w:t xml:space="preserve">Copy the backup file over the main database file (canslim_positions.db).</w:t>
            </w:r>
          </w:p>
          <w:p>
            <w:pPr>
              <w:spacing w:after="80" w:line="260"/>
            </w:pPr>
            <w:r>
              <w:rPr>
                <w:rFonts w:ascii="Arial" w:cs="Arial" w:eastAsia="Arial" w:hAnsi="Arial"/>
                <w:color w:val="333333"/>
                <w:sz w:val="20"/>
                <w:szCs w:val="20"/>
              </w:rPr>
              <w:t xml:space="preserve">Restart the service. The system will pick up from the backup’s state.</w:t>
            </w:r>
          </w:p>
          <w:p>
            <w:pPr>
              <w:spacing w:after="80" w:line="260"/>
            </w:pPr>
            <w:r>
              <w:rPr>
                <w:rFonts w:ascii="Arial" w:cs="Arial" w:eastAsia="Arial" w:hAnsi="Arial"/>
                <w:color w:val="333333"/>
                <w:sz w:val="20"/>
                <w:szCs w:val="20"/>
              </w:rPr>
              <w:t xml:space="preserve">Trigger a force sync to Google Sheets to re-align the sheet with the restored data.</w:t>
            </w:r>
          </w:p>
        </w:tc>
      </w:tr>
    </w:tbl>
    <w:p>
      <w:pPr>
        <w:spacing w:before="200" w:after="0"/>
      </w:pPr>
    </w:p>
    <w:p>
      <w:pPr>
        <w:pStyle w:val="Heading2"/>
        <w:spacing w:before="280" w:after="160"/>
      </w:pPr>
      <w:r>
        <w:rPr>
          <w:rFonts w:ascii="Arial" w:cs="Arial" w:eastAsia="Arial" w:hAnsi="Arial"/>
          <w:b/>
          <w:bCs/>
          <w:color w:val="2E74B5"/>
          <w:sz w:val="28"/>
          <w:szCs w:val="28"/>
        </w:rPr>
        <w:t xml:space="preserve">Part VII Summary</w:t>
      </w:r>
    </w:p>
    <w:p>
      <w:pPr>
        <w:spacing w:after="200" w:line="276"/>
      </w:pPr>
      <w:r>
        <w:rPr>
          <w:rFonts w:ascii="Arial" w:cs="Arial" w:eastAsia="Arial" w:hAnsi="Arial"/>
          <w:color w:val="333333"/>
          <w:sz w:val="22"/>
          <w:szCs w:val="22"/>
        </w:rPr>
        <w:t xml:space="preserve">Part VII has given you the tools to make the CANSLIM Monitor truly your own. The three-tier YAML configuration system lets you override any default without risk of losing changes during updates. Alert thresholds, cooldown periods, and routing rules let you control exactly when and how the system communicates with you. Scoring weight customization lets you emphasize the factors that matter most in your trading, whether through manual tuning or data-driven learning engine recommendations. And the external integration guides ensure your connections to IBKR, Discord, Google Sheets, and data providers are properly configured and resilient.</w:t>
      </w:r>
    </w:p>
    <w:p>
      <w:pPr>
        <w:spacing w:after="200" w:line="276"/>
      </w:pPr>
      <w:r>
        <w:rPr>
          <w:rFonts w:ascii="Arial" w:cs="Arial" w:eastAsia="Arial" w:hAnsi="Arial"/>
          <w:color w:val="333333"/>
          <w:sz w:val="22"/>
          <w:szCs w:val="22"/>
        </w:rPr>
        <w:t xml:space="preserve">Part VIII, the final section, provides comprehensive reference appendices: the complete scoring rubric, the full alert type catalog with Discord embed examples, the position state machine diagram, configuration templates, and a glossary of all CANSLIM and system-specific terms used throughout this guide.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CANSLIM Trading System — User Guide: Part VII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D7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2026-02-14T01:01:47.410Z</dcterms:created>
  <dcterms:modified xsi:type="dcterms:W3CDTF">2026-02-14T01:01:47.411Z</dcterms:modified>
</cp:coreProperties>
</file>

<file path=docProps/custom.xml><?xml version="1.0" encoding="utf-8"?>
<Properties xmlns="http://schemas.openxmlformats.org/officeDocument/2006/custom-properties" xmlns:vt="http://schemas.openxmlformats.org/officeDocument/2006/docPropsVTypes"/>
</file>