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jc w:val="center"/>
      </w:pPr>
      <w:r>
        <w:rPr>
          <w:rFonts w:ascii="Arial" w:cs="Arial" w:eastAsia="Arial" w:hAnsi="Arial"/>
          <w:b/>
          <w:bCs/>
          <w:color w:val="1F4D78"/>
          <w:sz w:val="48"/>
          <w:szCs w:val="48"/>
        </w:rPr>
        <w:t xml:space="preserve">CANSLIM Trading System</w:t>
      </w:r>
    </w:p>
    <w:p>
      <w:pPr>
        <w:spacing w:after="200"/>
        <w:jc w:val="center"/>
      </w:pPr>
      <w:r>
        <w:rPr>
          <w:rFonts w:ascii="Arial" w:cs="Arial" w:eastAsia="Arial" w:hAnsi="Arial"/>
          <w:b/>
          <w:bCs/>
          <w:color w:val="2E74B5"/>
          <w:sz w:val="44"/>
          <w:szCs w:val="44"/>
        </w:rPr>
        <w:t xml:space="preserve">User Guide</w:t>
      </w:r>
    </w:p>
    <w:p>
      <w:pPr>
        <w:spacing w:before="200" w:after="0"/>
      </w:pPr>
    </w:p>
    <w:p>
      <w:pPr>
        <w:jc w:val="center"/>
      </w:pPr>
      <w:r>
        <w:rPr>
          <w:rFonts w:ascii="Arial" w:cs="Arial" w:eastAsia="Arial" w:hAnsi="Arial"/>
          <w:color w:val="2E74B5"/>
          <w:sz w:val="32"/>
          <w:szCs w:val="32"/>
        </w:rPr>
        <w:t xml:space="preserve">Part VI: Advanced Topics</w:t>
      </w:r>
    </w:p>
    <w:p>
      <w:pPr>
        <w:spacing w:before="100" w:after="0"/>
      </w:pPr>
    </w:p>
    <w:p>
      <w:pPr>
        <w:jc w:val="center"/>
      </w:pPr>
      <w:r>
        <w:rPr>
          <w:rFonts w:ascii="Arial" w:cs="Arial" w:eastAsia="Arial" w:hAnsi="Arial"/>
          <w:color w:val="333333"/>
          <w:sz w:val="26"/>
          <w:szCs w:val="26"/>
        </w:rPr>
        <w:t xml:space="preserve">Chapters 28 – 30</w:t>
      </w:r>
    </w:p>
    <w:p>
      <w:pPr>
        <w:spacing w:before="300" w:after="0"/>
      </w:pPr>
    </w:p>
    <w:p>
      <w:pPr>
        <w:jc w:val="center"/>
      </w:pPr>
      <w:r>
        <w:rPr>
          <w:rFonts w:ascii="Arial" w:cs="Arial" w:eastAsia="Arial" w:hAnsi="Arial"/>
          <w:i/>
          <w:iCs/>
          <w:color w:val="333333"/>
          <w:sz w:val="22"/>
          <w:szCs w:val="22"/>
        </w:rPr>
        <w:t xml:space="preserve">Beyond the standard pivot breakout lies a world of alternative entries,</w:t>
      </w:r>
    </w:p>
    <w:p>
      <w:pPr>
        <w:jc w:val="center"/>
      </w:pPr>
      <w:r>
        <w:rPr>
          <w:rFonts w:ascii="Arial" w:cs="Arial" w:eastAsia="Arial" w:hAnsi="Arial"/>
          <w:i/>
          <w:iCs/>
          <w:color w:val="333333"/>
          <w:sz w:val="22"/>
          <w:szCs w:val="22"/>
        </w:rPr>
        <w:t xml:space="preserve">machine learning optimization, and complementary trading strategies.</w:t>
      </w:r>
    </w:p>
    <w:p>
      <w:pPr>
        <w:jc w:val="center"/>
      </w:pPr>
      <w:r>
        <w:rPr>
          <w:rFonts w:ascii="Arial" w:cs="Arial" w:eastAsia="Arial" w:hAnsi="Arial"/>
          <w:i/>
          <w:iCs/>
          <w:color w:val="333333"/>
          <w:sz w:val="22"/>
          <w:szCs w:val="22"/>
        </w:rPr>
        <w:t xml:space="preserve">This section teaches you how to use them all within the CANSLIM Monitor.</w:t>
      </w:r>
    </w:p>
    <w:p>
      <w:r>
        <w:br w:type="page"/>
      </w:r>
    </w:p>
    <w:p>
      <w:pPr>
        <w:pStyle w:val="Heading1"/>
        <w:spacing w:before="360" w:after="200"/>
      </w:pPr>
      <w:r>
        <w:rPr>
          <w:rFonts w:ascii="Arial" w:cs="Arial" w:eastAsia="Arial" w:hAnsi="Arial"/>
          <w:b/>
          <w:bCs/>
          <w:color w:val="1F4D78"/>
          <w:sz w:val="36"/>
          <w:szCs w:val="36"/>
        </w:rPr>
        <w:t xml:space="preserve">Part VI: Advanced Topics</w:t>
      </w:r>
    </w:p>
    <w:p>
      <w:pPr>
        <w:spacing w:before="80" w:after="0"/>
      </w:pPr>
    </w:p>
    <w:p>
      <w:pPr>
        <w:spacing w:after="200" w:line="276"/>
      </w:pPr>
      <w:r>
        <w:rPr>
          <w:rFonts w:ascii="Arial" w:cs="Arial" w:eastAsia="Arial" w:hAnsi="Arial"/>
          <w:color w:val="333333"/>
          <w:sz w:val="22"/>
          <w:szCs w:val="22"/>
        </w:rPr>
        <w:t xml:space="preserve">Parts I through V taught you the core CANSLIM methodology, how to build a watchlist, how the system architecture works, how to execute the complete trade lifecycle, and how to maintain consistent daily and weekly routines. That foundation is sufficient for profitable trading. Many successful investors never go beyond it.</w:t>
      </w:r>
    </w:p>
    <w:p>
      <w:pPr>
        <w:spacing w:after="200" w:line="276"/>
      </w:pPr>
      <w:r>
        <w:rPr>
          <w:rFonts w:ascii="Arial" w:cs="Arial" w:eastAsia="Arial" w:hAnsi="Arial"/>
          <w:color w:val="333333"/>
          <w:sz w:val="22"/>
          <w:szCs w:val="22"/>
        </w:rPr>
        <w:t xml:space="preserve">This section is for those who want to go further. It covers three areas that extend the system’s capabilities: alternative entry strategies that provide additional ways into leading stocks beyond the standard pivot breakout, the learning engine that uses machine learning to analyze your trading outcomes and optimize the scoring algorithm, and swing trading integration that lets you run a complementary short-term strategy alongside your position trades.</w:t>
      </w:r>
    </w:p>
    <w:p>
      <w:pPr>
        <w:spacing w:after="200" w:line="276"/>
      </w:pPr>
      <w:r>
        <w:rPr>
          <w:rFonts w:ascii="Arial" w:cs="Arial" w:eastAsia="Arial" w:hAnsi="Arial"/>
          <w:color w:val="333333"/>
          <w:sz w:val="22"/>
          <w:szCs w:val="22"/>
        </w:rPr>
        <w:t xml:space="preserve">A word of caution before we begin: these are advanced topics for a reason. Alternative entry strategies require more experience and faster decision-making than standard pivot breakouts. The learning engine requires a meaningful sample of completed trades before it can produce reliable recommendations. And swing trading demands a different psychological framework than position trading. Master the fundamentals first. Then return here when you are ready to expand your toolkit.</w:t>
      </w:r>
    </w:p>
    <w:p>
      <w:r>
        <w:br w:type="page"/>
      </w:r>
    </w:p>
    <w:p>
      <w:pPr>
        <w:pStyle w:val="Heading1"/>
        <w:spacing w:before="360" w:after="200"/>
      </w:pPr>
      <w:r>
        <w:rPr>
          <w:rFonts w:ascii="Arial" w:cs="Arial" w:eastAsia="Arial" w:hAnsi="Arial"/>
          <w:b/>
          <w:bCs/>
          <w:color w:val="1F4D78"/>
          <w:sz w:val="36"/>
          <w:szCs w:val="36"/>
        </w:rPr>
        <w:t xml:space="preserve">Chapter 28: Alternative Entry Strategies</w:t>
      </w:r>
    </w:p>
    <w:p>
      <w:pPr>
        <w:spacing w:after="200" w:line="276"/>
      </w:pPr>
      <w:r>
        <w:rPr>
          <w:rFonts w:ascii="Arial" w:cs="Arial" w:eastAsia="Arial" w:hAnsi="Arial"/>
          <w:color w:val="333333"/>
          <w:sz w:val="22"/>
          <w:szCs w:val="22"/>
        </w:rPr>
        <w:t xml:space="preserve">The standard CANSLIM entry is the pivot breakout: a stock completes a proper base pattern, you identify the pivot point, and you buy when price clears that pivot on above-average volume. This is the bread and butter of the methodology, and it should remain your primary entry technique. But it is not the only valid way to enter a leading stock.</w:t>
      </w:r>
    </w:p>
    <w:p>
      <w:pPr>
        <w:spacing w:after="200" w:line="276"/>
      </w:pPr>
      <w:r>
        <w:rPr>
          <w:rFonts w:ascii="Arial" w:cs="Arial" w:eastAsia="Arial" w:hAnsi="Arial"/>
          <w:color w:val="333333"/>
          <w:sz w:val="22"/>
          <w:szCs w:val="22"/>
        </w:rPr>
        <w:t xml:space="preserve">William O’Neil himself identified several alternative entry methods that allow you to buy stocks at lower prices or catch stocks you may have missed on the initial breakout. These alternative entries share a common philosophy: they all rely on identifying points where institutional investors are actively accumulating shares, and they all require the same underlying stock quality—strong fundamentals, proper base formation, and favorable market conditions.</w:t>
      </w:r>
    </w:p>
    <w:p>
      <w:pPr>
        <w:spacing w:after="200" w:line="276"/>
      </w:pPr>
      <w:r>
        <w:rPr>
          <w:rFonts w:ascii="Arial" w:cs="Arial" w:eastAsia="Arial" w:hAnsi="Arial"/>
          <w:color w:val="333333"/>
          <w:sz w:val="22"/>
          <w:szCs w:val="22"/>
        </w:rPr>
        <w:t xml:space="preserve">The CANSLIM Monitor system detects and alerts on four alternative entry types. Each generates a distinct alert in Discord with its own color coding and recommended action. This chapter explains each entry type, when to use it, how the system identifies it, and how to manage the additional risk that comes with non-standard entries.</w:t>
      </w:r>
    </w:p>
    <w:p>
      <w:pPr>
        <w:pStyle w:val="Heading2"/>
        <w:spacing w:before="280" w:after="160"/>
      </w:pPr>
      <w:r>
        <w:rPr>
          <w:rFonts w:ascii="Arial" w:cs="Arial" w:eastAsia="Arial" w:hAnsi="Arial"/>
          <w:b/>
          <w:bCs/>
          <w:color w:val="2E74B5"/>
          <w:sz w:val="28"/>
          <w:szCs w:val="28"/>
        </w:rPr>
        <w:t xml:space="preserve">28.1 Moving Average Pullback Entries</w:t>
      </w:r>
    </w:p>
    <w:p>
      <w:pPr>
        <w:spacing w:after="200" w:line="276"/>
      </w:pPr>
      <w:r>
        <w:rPr>
          <w:rFonts w:ascii="Arial" w:cs="Arial" w:eastAsia="Arial" w:hAnsi="Arial"/>
          <w:color w:val="333333"/>
          <w:sz w:val="22"/>
          <w:szCs w:val="22"/>
        </w:rPr>
        <w:t xml:space="preserve">After a successful breakout, growth stocks typically advance for several days or weeks before pulling back to digest their gains. The most common pullback targets are the 21-day exponential moving average for short-term support and the 50-day simple moving average (or its weekly equivalent, the 10-week line) for intermediate support. These pullbacks represent opportunities to enter a stock you may have missed at the initial pivot, or to add shares to an existing position at a more favorable price.</w:t>
      </w:r>
    </w:p>
    <w:p>
      <w:pPr>
        <w:spacing w:after="200" w:line="276"/>
      </w:pPr>
      <w:r>
        <w:rPr>
          <w:rFonts w:ascii="Arial" w:cs="Arial" w:eastAsia="Arial" w:hAnsi="Arial"/>
          <w:color w:val="333333"/>
          <w:sz w:val="22"/>
          <w:szCs w:val="22"/>
        </w:rPr>
        <w:t xml:space="preserve">The logic is straightforward: institutional investors—mutual funds, pension funds, hedge funds—use these moving average levels as reference points for adding to positions. When a stock they already own pulls back to the 50-day line, they view it as a discount and add shares. This buying pressure creates support at the moving average. As MarketSurge product coach Jerry Volkers explains, </w:t>
      </w:r>
      <w:r>
        <w:rPr>
          <w:rFonts w:ascii="Arial" w:cs="Arial" w:eastAsia="Arial" w:hAnsi="Arial"/>
          <w:i/>
          <w:iCs/>
          <w:color w:val="333333"/>
          <w:sz w:val="22"/>
          <w:szCs w:val="22"/>
        </w:rPr>
        <w:t xml:space="preserve">the 10-week moving average is the most important support level for growth stocks</w:t>
      </w:r>
      <w:r>
        <w:rPr>
          <w:rFonts w:ascii="Arial" w:cs="Arial" w:eastAsia="Arial" w:hAnsi="Arial"/>
          <w:color w:val="333333"/>
          <w:sz w:val="22"/>
          <w:szCs w:val="22"/>
        </w:rPr>
        <w:t xml:space="preserve"> because it represents approximately one quarter of trading activity and is the primary reference line for institutional portfolio managers.</w:t>
      </w:r>
    </w:p>
    <w:p>
      <w:pPr>
        <w:spacing w:after="200" w:line="276"/>
      </w:pPr>
      <w:r>
        <w:rPr>
          <w:rFonts w:ascii="Arial" w:cs="Arial" w:eastAsia="Arial" w:hAnsi="Arial"/>
          <w:color w:val="333333"/>
          <w:sz w:val="22"/>
          <w:szCs w:val="22"/>
        </w:rPr>
        <w:t xml:space="preserve">The system identifies moving average pullback entries by monitoring the distance between a stock’s current price and its key moving averages. When a stock that was previously extended from its pivot—meaning it had advanced more than five percent above the buy point and was no longer in the buyable range—pulls back to within one percent of its 21-day EMA or 50-day SMA, the system generates an alternative entry alert.</w:t>
      </w:r>
    </w:p>
    <w:p>
      <w:pPr>
        <w:spacing w:before="200" w:after="120"/>
      </w:pPr>
      <w:r>
        <w:rPr>
          <w:rFonts w:ascii="Arial" w:cs="Arial" w:eastAsia="Arial" w:hAnsi="Arial"/>
          <w:b/>
          <w:bCs/>
          <w:color w:val="2E74B5"/>
          <w:sz w:val="24"/>
          <w:szCs w:val="24"/>
        </w:rPr>
        <w:t xml:space="preserve">The Probability Hierarchy</w:t>
      </w:r>
    </w:p>
    <w:p>
      <w:pPr>
        <w:spacing w:after="200" w:line="276"/>
      </w:pPr>
      <w:r>
        <w:rPr>
          <w:rFonts w:ascii="Arial" w:cs="Arial" w:eastAsia="Arial" w:hAnsi="Arial"/>
          <w:color w:val="333333"/>
          <w:sz w:val="22"/>
          <w:szCs w:val="22"/>
        </w:rPr>
        <w:t xml:space="preserve">Not all pullbacks to moving averages are created equal. The first pullback to the 50-day line after a breakout has the highest probability of success, roughly comparable to a standard pivot breakout. The second pullback is still tradeable but carries slightly elevated risk. By the third time a stock tests the 50-day line, the odds of support holding have diminished significantly, and you should either pass or use a meaningfully smaller position.</w:t>
      </w:r>
    </w:p>
    <w:p>
      <w:pPr>
        <w:spacing w:after="200" w:line="276"/>
      </w:pPr>
      <w:r>
        <w:rPr>
          <w:rFonts w:ascii="Arial" w:cs="Arial" w:eastAsia="Arial" w:hAnsi="Arial"/>
          <w:color w:val="333333"/>
          <w:sz w:val="22"/>
          <w:szCs w:val="22"/>
        </w:rPr>
        <w:t xml:space="preserve">This hierarchy exists because each successive test of support weakens that support level. The first test typically features volume drying up on the decline (sellers exhausted) followed by heavy volume on the bounce (institutions buying aggressively). By the third test, the volume pattern often reverses: heavier selling into the decline and weaker bouncing. The system tracks how many times a stock has tested its 50-day line and includes this count in the alert, allowing you to assess probability accordingly.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c>
          <w:tcPr>
            <w:tcW w:type="dxa" w:w="18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Pullback #</w:t>
            </w:r>
          </w:p>
        </w:tc>
        <w:tc>
          <w:tcPr>
            <w:tcW w:type="dxa" w:w="20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Success Rate</w:t>
            </w:r>
          </w:p>
        </w:tc>
        <w:tc>
          <w:tcPr>
            <w:tcW w:type="dxa" w:w="256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Position Size</w:t>
            </w:r>
          </w:p>
        </w:tc>
        <w:tc>
          <w:tcPr>
            <w:tcW w:type="dxa" w:w="30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Stop Placement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1st to 50-day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High (comparable to pivot)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Normal (50% initial)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1–2% below moving average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2nd to 50-day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Moderate</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Reduced (25–50% initial)</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1–2% below moving average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3rd+ to 50-day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Pass or minimal pilot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N/A — consider passing</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1st to 21-day EMA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High (short-term)</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Normal add-on size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2 closes below 21 EMA</w:t>
            </w:r>
          </w:p>
        </w:tc>
      </w:tr>
    </w:tbl>
    <w:p>
      <w:pPr>
        <w:spacing w:before="80" w:after="0"/>
      </w:pPr>
    </w:p>
    <w:p>
      <w:pPr>
        <w:spacing w:before="200" w:after="120"/>
      </w:pPr>
      <w:r>
        <w:rPr>
          <w:rFonts w:ascii="Arial" w:cs="Arial" w:eastAsia="Arial" w:hAnsi="Arial"/>
          <w:b/>
          <w:bCs/>
          <w:color w:val="2E74B5"/>
          <w:sz w:val="24"/>
          <w:szCs w:val="24"/>
        </w:rPr>
        <w:t xml:space="preserve">Volume Confirmation</w:t>
      </w:r>
    </w:p>
    <w:p>
      <w:pPr>
        <w:spacing w:after="200" w:line="276"/>
      </w:pPr>
      <w:r>
        <w:rPr>
          <w:rFonts w:ascii="Arial" w:cs="Arial" w:eastAsia="Arial" w:hAnsi="Arial"/>
          <w:color w:val="333333"/>
          <w:sz w:val="22"/>
          <w:szCs w:val="22"/>
        </w:rPr>
        <w:t xml:space="preserve">Volume behavior during a pullback is as important as the price action. Healthy pullbacks show declining volume as the stock drops toward the moving average—this indicates that selling pressure is dissipating, not intensifying. When the stock bounces off the moving average, you want to see volume expand, confirming that institutional buyers are stepping in at that level. If volume increases on the decline and decreases on the bounce attempt, the moving average is more likely to fail as support.</w:t>
      </w:r>
    </w:p>
    <w:p>
      <w:pPr>
        <w:spacing w:after="200" w:line="276"/>
      </w:pPr>
      <w:r>
        <w:rPr>
          <w:rFonts w:ascii="Arial" w:cs="Arial" w:eastAsia="Arial" w:hAnsi="Arial"/>
          <w:color w:val="333333"/>
          <w:sz w:val="22"/>
          <w:szCs w:val="22"/>
        </w:rPr>
        <w:t xml:space="preserve">The CANSLIM Monitor evaluates volume patterns automatically when generating MA pullback alerts. The alert includes the volume ratio on the bounce day compared to the 50-day average volume, giving you an instant read on institutional conviction. A ratio above 1.2 suggests strong institutional interest; below 0.8 suggests the bounce may lack conviction.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none" w:sz="0"/>
              <w:right w:val="single" w:color="2E74B5" w:sz="6"/>
            </w:tcBorders>
            <w:shd w:fill="E8F4FD" w:val="clear"/>
            <w:tcMar>
              <w:top w:type="dxa" w:w="100"/>
              <w:left w:type="dxa" w:w="160"/>
              <w:bottom w:type="dxa" w:w="100"/>
              <w:right w:type="dxa" w:w="160"/>
            </w:tcMar>
          </w:tcPr>
          <w:p>
            <w:pPr>
              <w:spacing w:after="40"/>
            </w:pPr>
            <w:r>
              <w:rPr>
                <w:rFonts w:ascii="Arial" w:cs="Arial" w:eastAsia="Arial" w:hAnsi="Arial"/>
                <w:b/>
                <w:bCs/>
                <w:color w:val="2E74B5"/>
                <w:sz w:val="22"/>
                <w:szCs w:val="22"/>
              </w:rPr>
              <w:t xml:space="preserve">💻 How the System Helps</w:t>
            </w:r>
          </w:p>
        </w:tc>
      </w:tr>
      <w:tr>
        <w:tc>
          <w:tcPr>
            <w:tcW w:type="dxa" w:w="9360"/>
            <w:tcBorders>
              <w:top w:val="none" w:sz="0"/>
              <w:left w:val="single" w:color="2E74B5" w:sz="6"/>
              <w:bottom w:val="single" w:color="2E74B5" w:sz="6"/>
              <w:right w:val="single" w:color="2E74B5" w:sz="6"/>
            </w:tcBorders>
            <w:shd w:fill="E8F4FD" w:val="clear"/>
            <w:tcMar>
              <w:top w:type="dxa" w:w="100"/>
              <w:left w:type="dxa" w:w="160"/>
              <w:bottom w:type="dxa" w:w="100"/>
              <w:right w:type="dxa" w:w="160"/>
            </w:tcMar>
          </w:tcPr>
          <w:p>
            <w:pPr>
              <w:spacing w:after="80" w:line="260"/>
            </w:pPr>
            <w:r>
              <w:rPr>
                <w:rFonts w:ascii="Arial" w:cs="Arial" w:eastAsia="Arial" w:hAnsi="Arial"/>
                <w:color w:val="333333"/>
                <w:sz w:val="20"/>
                <w:szCs w:val="20"/>
              </w:rPr>
              <w:t xml:space="preserve">The monitor generates ALT_ENTRY alerts with subtypes MA_BOUNCE (for 50-day) and 21_EMA (for the 21-day EMA).</w:t>
            </w:r>
          </w:p>
          <w:p>
            <w:pPr>
              <w:spacing w:after="80" w:line="260"/>
            </w:pPr>
            <w:r>
              <w:rPr>
                <w:rFonts w:ascii="Arial" w:cs="Arial" w:eastAsia="Arial" w:hAnsi="Arial"/>
                <w:color w:val="333333"/>
                <w:sz w:val="20"/>
                <w:szCs w:val="20"/>
              </w:rPr>
              <w:t xml:space="preserve">Each alert includes: the number of prior MA tests, the volume ratio on the bounce, and the distance from the moving average.</w:t>
            </w:r>
          </w:p>
          <w:p>
            <w:pPr>
              <w:spacing w:after="80" w:line="260"/>
            </w:pPr>
            <w:r>
              <w:rPr>
                <w:rFonts w:ascii="Arial" w:cs="Arial" w:eastAsia="Arial" w:hAnsi="Arial"/>
                <w:color w:val="333333"/>
                <w:sz w:val="20"/>
                <w:szCs w:val="20"/>
              </w:rPr>
              <w:t xml:space="preserve">For stocks already in your portfolio, these appear as ADD alerts rather than new entry alerts.</w:t>
            </w:r>
          </w:p>
          <w:p>
            <w:pPr>
              <w:spacing w:after="80" w:line="260"/>
            </w:pPr>
            <w:r>
              <w:rPr>
                <w:rFonts w:ascii="Arial" w:cs="Arial" w:eastAsia="Arial" w:hAnsi="Arial"/>
                <w:color w:val="333333"/>
                <w:sz w:val="20"/>
                <w:szCs w:val="20"/>
              </w:rPr>
              <w:t xml:space="preserve">For watchlist stocks that were previously EXTENDED, the system reclassifies them as actionable when they pull back to support.</w:t>
            </w:r>
          </w:p>
        </w:tc>
      </w:tr>
    </w:tbl>
    <w:p>
      <w:pPr>
        <w:pStyle w:val="Heading2"/>
        <w:spacing w:before="280" w:after="160"/>
      </w:pPr>
      <w:r>
        <w:rPr>
          <w:rFonts w:ascii="Arial" w:cs="Arial" w:eastAsia="Arial" w:hAnsi="Arial"/>
          <w:b/>
          <w:bCs/>
          <w:color w:val="2E74B5"/>
          <w:sz w:val="28"/>
          <w:szCs w:val="28"/>
        </w:rPr>
        <w:t xml:space="preserve">28.2 The Three Weeks Tight Pattern</w:t>
      </w:r>
    </w:p>
    <w:p>
      <w:pPr>
        <w:spacing w:after="200" w:line="276"/>
      </w:pPr>
      <w:r>
        <w:rPr>
          <w:rFonts w:ascii="Arial" w:cs="Arial" w:eastAsia="Arial" w:hAnsi="Arial"/>
          <w:color w:val="333333"/>
          <w:sz w:val="22"/>
          <w:szCs w:val="22"/>
        </w:rPr>
        <w:t xml:space="preserve">The three weeks tight pattern is one of the most powerful secondary entry signals in the CANSLIM methodology. It occurs when a stock’s weekly closing prices cluster within a very narrow range—typically 1 to 1.5 percent—for three consecutive weeks. This extreme tightness signals that supply and demand have reached a near-perfect equilibrium: holders are unwilling to sell despite accumulated profits, and buyers are steadily accumulating without pushing the price higher.</w:t>
      </w:r>
    </w:p>
    <w:p>
      <w:pPr>
        <w:spacing w:after="200" w:line="276"/>
      </w:pPr>
      <w:r>
        <w:rPr>
          <w:rFonts w:ascii="Arial" w:cs="Arial" w:eastAsia="Arial" w:hAnsi="Arial"/>
          <w:color w:val="333333"/>
          <w:sz w:val="22"/>
          <w:szCs w:val="22"/>
        </w:rPr>
        <w:t xml:space="preserve">Think of it as compressed energy waiting to be released. The tight trading range represents a period of digestion after an advance, where the stock consolidates its gains without giving back meaningful ground. When the stock finally breaks above the high point of the three-week tight pattern on above-average volume, it often launches into another significant advance.</w:t>
      </w:r>
    </w:p>
    <w:p>
      <w:pPr>
        <w:spacing w:after="200" w:line="276"/>
      </w:pPr>
      <w:r>
        <w:rPr>
          <w:rFonts w:ascii="Arial" w:cs="Arial" w:eastAsia="Arial" w:hAnsi="Arial"/>
          <w:color w:val="333333"/>
          <w:sz w:val="22"/>
          <w:szCs w:val="22"/>
        </w:rPr>
        <w:t xml:space="preserve">MarketSurge product coach Jerry Volkers considers the three weeks tight to be one of his favorite patterns. As he explains, the pattern is </w:t>
      </w:r>
      <w:r>
        <w:rPr>
          <w:rFonts w:ascii="Arial" w:cs="Arial" w:eastAsia="Arial" w:hAnsi="Arial"/>
          <w:i/>
          <w:iCs/>
          <w:color w:val="333333"/>
          <w:sz w:val="22"/>
          <w:szCs w:val="22"/>
        </w:rPr>
        <w:t xml:space="preserve">primarily an area where you add to a position, but it is a pattern that I like so much that I use it to start a position</w:t>
      </w:r>
      <w:r>
        <w:rPr>
          <w:rFonts w:ascii="Arial" w:cs="Arial" w:eastAsia="Arial" w:hAnsi="Arial"/>
          <w:color w:val="333333"/>
          <w:sz w:val="22"/>
          <w:szCs w:val="22"/>
        </w:rPr>
        <w:t xml:space="preserve">. This is notable because most secondary entry techniques are used exclusively for adding to existing winners. The three weeks tight is strong enough to justify initiating a new position if you missed the original breakout.</w:t>
      </w:r>
    </w:p>
    <w:p>
      <w:pPr>
        <w:spacing w:before="200" w:after="120"/>
      </w:pPr>
      <w:r>
        <w:rPr>
          <w:rFonts w:ascii="Arial" w:cs="Arial" w:eastAsia="Arial" w:hAnsi="Arial"/>
          <w:b/>
          <w:bCs/>
          <w:color w:val="2E74B5"/>
          <w:sz w:val="24"/>
          <w:szCs w:val="24"/>
        </w:rPr>
        <w:t xml:space="preserve">Identifying the Pattern</w:t>
      </w:r>
    </w:p>
    <w:p>
      <w:pPr>
        <w:spacing w:after="200" w:line="276"/>
      </w:pPr>
      <w:r>
        <w:rPr>
          <w:rFonts w:ascii="Arial" w:cs="Arial" w:eastAsia="Arial" w:hAnsi="Arial"/>
          <w:color w:val="333333"/>
          <w:sz w:val="22"/>
          <w:szCs w:val="22"/>
        </w:rPr>
        <w:t xml:space="preserve">To qualify as a valid three weeks tight, each of the three weekly closing prices must fall within 1.5 percent of the prior week’s close. This is measured on the weekly chart using closing prices only—intraweek volatility does not disqualify the pattern. A stock can swing several percent during the week as long as it closes near where it closed the prior week.</w:t>
      </w:r>
    </w:p>
    <w:p>
      <w:pPr>
        <w:spacing w:after="200" w:line="276"/>
      </w:pPr>
      <w:r>
        <w:rPr>
          <w:rFonts w:ascii="Arial" w:cs="Arial" w:eastAsia="Arial" w:hAnsi="Arial"/>
          <w:color w:val="333333"/>
          <w:sz w:val="22"/>
          <w:szCs w:val="22"/>
        </w:rPr>
        <w:t xml:space="preserve">Volume during the three-week tight period should be declining or at least below average. This confirms that the tightness is caused by an absence of selling rather than heavy buying and selling that happen to offset each other. When you see very tight closes combined with drying-up volume, you have the ideal setup.</w:t>
      </w:r>
    </w:p>
    <w:p>
      <w:pPr>
        <w:spacing w:before="200" w:after="120"/>
      </w:pPr>
      <w:r>
        <w:rPr>
          <w:rFonts w:ascii="Arial" w:cs="Arial" w:eastAsia="Arial" w:hAnsi="Arial"/>
          <w:b/>
          <w:bCs/>
          <w:color w:val="2E74B5"/>
          <w:sz w:val="24"/>
          <w:szCs w:val="24"/>
        </w:rPr>
        <w:t xml:space="preserve">Trading the Three Weeks Tight</w:t>
      </w:r>
    </w:p>
    <w:p>
      <w:pPr>
        <w:spacing w:after="200" w:line="276"/>
      </w:pPr>
      <w:r>
        <w:rPr>
          <w:rFonts w:ascii="Arial" w:cs="Arial" w:eastAsia="Arial" w:hAnsi="Arial"/>
          <w:color w:val="333333"/>
          <w:sz w:val="22"/>
          <w:szCs w:val="22"/>
        </w:rPr>
        <w:t xml:space="preserve">The entry point is a break above the highest price reached during the three-week pattern on above-average daily volume. Your stop goes below the lowest point of the pattern. Because the pattern is inherently tight, the distance from entry to stop is typically small—often three to five percent—which means you can take a larger position with the same dollar risk. This is one of the key advantages of the three weeks tight pattern.</w:t>
      </w:r>
    </w:p>
    <w:p>
      <w:pPr>
        <w:spacing w:after="200" w:line="276"/>
      </w:pPr>
      <w:r>
        <w:rPr>
          <w:rFonts w:ascii="Arial" w:cs="Arial" w:eastAsia="Arial" w:hAnsi="Arial"/>
          <w:color w:val="333333"/>
          <w:sz w:val="22"/>
          <w:szCs w:val="22"/>
        </w:rPr>
        <w:t xml:space="preserve">Consider the math: if your standard breakout stop is seven to eight percent below the entry and you risk one percent of your portfolio on each trade, your maximum position size is approximately 12.5 to 14 percent of the portfolio. But if a three weeks tight setup has only a four percent distance from entry to stop, that same one percent portfolio risk allows a position of 25 percent—nearly double the size. Tight patterns create asymmetric opportunity because they compress the risk side of the risk-reward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none" w:sz="0"/>
              <w:right w:val="single" w:color="2E74B5" w:sz="6"/>
            </w:tcBorders>
            <w:shd w:fill="E8F4FD" w:val="clear"/>
            <w:tcMar>
              <w:top w:type="dxa" w:w="100"/>
              <w:left w:type="dxa" w:w="160"/>
              <w:bottom w:type="dxa" w:w="100"/>
              <w:right w:type="dxa" w:w="160"/>
            </w:tcMar>
          </w:tcPr>
          <w:p>
            <w:pPr>
              <w:spacing w:after="40"/>
            </w:pPr>
            <w:r>
              <w:rPr>
                <w:rFonts w:ascii="Arial" w:cs="Arial" w:eastAsia="Arial" w:hAnsi="Arial"/>
                <w:b/>
                <w:bCs/>
                <w:color w:val="2E74B5"/>
                <w:sz w:val="22"/>
                <w:szCs w:val="22"/>
              </w:rPr>
              <w:t xml:space="preserve">💻 How the System Helps</w:t>
            </w:r>
          </w:p>
        </w:tc>
      </w:tr>
      <w:tr>
        <w:tc>
          <w:tcPr>
            <w:tcW w:type="dxa" w:w="9360"/>
            <w:tcBorders>
              <w:top w:val="none" w:sz="0"/>
              <w:left w:val="single" w:color="2E74B5" w:sz="6"/>
              <w:bottom w:val="single" w:color="2E74B5" w:sz="6"/>
              <w:right w:val="single" w:color="2E74B5" w:sz="6"/>
            </w:tcBorders>
            <w:shd w:fill="E8F4FD" w:val="clear"/>
            <w:tcMar>
              <w:top w:type="dxa" w:w="100"/>
              <w:left w:type="dxa" w:w="160"/>
              <w:bottom w:type="dxa" w:w="100"/>
              <w:right w:type="dxa" w:w="160"/>
            </w:tcMar>
          </w:tcPr>
          <w:p>
            <w:pPr>
              <w:spacing w:after="80" w:line="260"/>
            </w:pPr>
            <w:r>
              <w:rPr>
                <w:rFonts w:ascii="Arial" w:cs="Arial" w:eastAsia="Arial" w:hAnsi="Arial"/>
                <w:color w:val="333333"/>
                <w:sz w:val="20"/>
                <w:szCs w:val="20"/>
              </w:rPr>
              <w:t xml:space="preserve">The monitor detects three weeks tight patterns by comparing weekly closing prices for the most recent three weeks.</w:t>
            </w:r>
          </w:p>
          <w:p>
            <w:pPr>
              <w:spacing w:after="80" w:line="260"/>
            </w:pPr>
            <w:r>
              <w:rPr>
                <w:rFonts w:ascii="Arial" w:cs="Arial" w:eastAsia="Arial" w:hAnsi="Arial"/>
                <w:color w:val="333333"/>
                <w:sz w:val="20"/>
                <w:szCs w:val="20"/>
              </w:rPr>
              <w:t xml:space="preserve">When closing prices fall within the 1.5% threshold for three consecutive weeks, the system creates a 3WT alert.</w:t>
            </w:r>
          </w:p>
          <w:p>
            <w:pPr>
              <w:spacing w:after="80" w:line="260"/>
            </w:pPr>
            <w:r>
              <w:rPr>
                <w:rFonts w:ascii="Arial" w:cs="Arial" w:eastAsia="Arial" w:hAnsi="Arial"/>
                <w:color w:val="333333"/>
                <w:sz w:val="20"/>
                <w:szCs w:val="20"/>
              </w:rPr>
              <w:t xml:space="preserve">The alert includes the buy point (high of the pattern + $0.10), the stop level (low of the pattern), and the risk percentage.</w:t>
            </w:r>
          </w:p>
          <w:p>
            <w:pPr>
              <w:spacing w:after="80" w:line="260"/>
            </w:pPr>
            <w:r>
              <w:rPr>
                <w:rFonts w:ascii="Arial" w:cs="Arial" w:eastAsia="Arial" w:hAnsi="Arial"/>
                <w:color w:val="333333"/>
                <w:sz w:val="20"/>
                <w:szCs w:val="20"/>
              </w:rPr>
              <w:t xml:space="preserve">The pattern type "3 Weeks Tight" is available in the Google Sheets watchlist dropdown for scoring purposes.</w:t>
            </w:r>
          </w:p>
        </w:tc>
      </w:tr>
    </w:tbl>
    <w:p>
      <w:pPr>
        <w:pStyle w:val="Heading2"/>
        <w:spacing w:before="280" w:after="160"/>
      </w:pPr>
      <w:r>
        <w:rPr>
          <w:rFonts w:ascii="Arial" w:cs="Arial" w:eastAsia="Arial" w:hAnsi="Arial"/>
          <w:b/>
          <w:bCs/>
          <w:color w:val="2E74B5"/>
          <w:sz w:val="28"/>
          <w:szCs w:val="28"/>
        </w:rPr>
        <w:t xml:space="preserve">28.3 The Shakeout Plus 3 Entry</w:t>
      </w:r>
    </w:p>
    <w:p>
      <w:pPr>
        <w:spacing w:after="200" w:line="276"/>
      </w:pPr>
      <w:r>
        <w:rPr>
          <w:rFonts w:ascii="Arial" w:cs="Arial" w:eastAsia="Arial" w:hAnsi="Arial"/>
          <w:color w:val="333333"/>
          <w:sz w:val="22"/>
          <w:szCs w:val="22"/>
        </w:rPr>
        <w:t xml:space="preserve">The shakeout plus 3 is the most aggressive of the alternative entry strategies. It is designed to get you into a stock alongside institutional investors during a manufactured decline—a shakeout—before the stock resumes its uptrend. The concept originates with Jesse Livermore, one of the most famous traders in stock market history, and was later refined by William O’Neil.</w:t>
      </w:r>
    </w:p>
    <w:p>
      <w:pPr>
        <w:spacing w:after="200" w:line="276"/>
      </w:pPr>
      <w:r>
        <w:rPr>
          <w:rFonts w:ascii="Arial" w:cs="Arial" w:eastAsia="Arial" w:hAnsi="Arial"/>
          <w:color w:val="333333"/>
          <w:sz w:val="22"/>
          <w:szCs w:val="22"/>
        </w:rPr>
        <w:t xml:space="preserve">The setup occurs when a stock forming a base undercuts a prior low, triggering stop-loss orders from retail investors, and then reverses back above that low. This undercut-and-recover action is the shakeout itself: institutions deliberately allow or even encourage the decline to shake out weak holders, allowing them to accumulate shares at lower prices. Once enough shares have changed hands, the stock reverses and eventually breaks out to new highs.</w:t>
      </w:r>
    </w:p>
    <w:p>
      <w:pPr>
        <w:spacing w:before="200" w:after="120"/>
      </w:pPr>
      <w:r>
        <w:rPr>
          <w:rFonts w:ascii="Arial" w:cs="Arial" w:eastAsia="Arial" w:hAnsi="Arial"/>
          <w:b/>
          <w:bCs/>
          <w:color w:val="2E74B5"/>
          <w:sz w:val="24"/>
          <w:szCs w:val="24"/>
        </w:rPr>
        <w:t xml:space="preserve">Calculating the Entry Point</w:t>
      </w:r>
    </w:p>
    <w:p>
      <w:pPr>
        <w:spacing w:after="200" w:line="276"/>
      </w:pPr>
      <w:r>
        <w:rPr>
          <w:rFonts w:ascii="Arial" w:cs="Arial" w:eastAsia="Arial" w:hAnsi="Arial"/>
          <w:color w:val="333333"/>
          <w:sz w:val="22"/>
          <w:szCs w:val="22"/>
        </w:rPr>
        <w:t xml:space="preserve">The entry point for a shakeout plus 3 is calculated as the first low of the base plus approximately ten percent. The name comes from Livermore’s era when most active stocks traded around thirty dollars, making the addition three points. For a modern stock, you scale the addition to the price level: a fifty-dollar stock with a first low at forty-eight dollars would have a shakeout plus 3 entry around fifty-three dollars. A one-hundred-dollar stock with a first low at ninety-five dollars would trigger at approximately one hundred and five dollars.</w:t>
      </w:r>
    </w:p>
    <w:p>
      <w:pPr>
        <w:spacing w:after="200" w:line="276"/>
      </w:pPr>
      <w:r>
        <w:rPr>
          <w:rFonts w:ascii="Arial" w:cs="Arial" w:eastAsia="Arial" w:hAnsi="Arial"/>
          <w:color w:val="333333"/>
          <w:sz w:val="22"/>
          <w:szCs w:val="22"/>
        </w:rPr>
        <w:t xml:space="preserve">This entry point is deliberately placed below the standard pivot point. The advantage is a lower average cost—you are buying before the crowd—but the disadvantage is that you are buying within the base, before the stock has proven itself with a breakout. This is why the shakeout plus 3 is considered an aggressive, advanced technique.</w:t>
      </w:r>
    </w:p>
    <w:p>
      <w:pPr>
        <w:spacing w:before="200" w:after="120"/>
      </w:pPr>
      <w:r>
        <w:rPr>
          <w:rFonts w:ascii="Arial" w:cs="Arial" w:eastAsia="Arial" w:hAnsi="Arial"/>
          <w:b/>
          <w:bCs/>
          <w:color w:val="2E74B5"/>
          <w:sz w:val="24"/>
          <w:szCs w:val="24"/>
        </w:rPr>
        <w:t xml:space="preserve">Risk Management for Early Entries</w:t>
      </w:r>
    </w:p>
    <w:p>
      <w:pPr>
        <w:spacing w:after="200" w:line="276"/>
      </w:pPr>
      <w:r>
        <w:rPr>
          <w:rFonts w:ascii="Arial" w:cs="Arial" w:eastAsia="Arial" w:hAnsi="Arial"/>
          <w:color w:val="333333"/>
          <w:sz w:val="22"/>
          <w:szCs w:val="22"/>
        </w:rPr>
        <w:t xml:space="preserve">Because you are buying before the standard pivot breakout, the shakeout plus 3 carries elevated risk and demands strict risk management. MarketSurge coach Arusha Paris emphasizes: </w:t>
      </w:r>
      <w:r>
        <w:rPr>
          <w:rFonts w:ascii="Arial" w:cs="Arial" w:eastAsia="Arial" w:hAnsi="Arial"/>
          <w:i/>
          <w:iCs/>
          <w:color w:val="333333"/>
          <w:sz w:val="22"/>
          <w:szCs w:val="22"/>
        </w:rPr>
        <w:t xml:space="preserve">it is a more advanced buy point and non-traditional approach. We want to adjust our risk accordingly</w:t>
      </w:r>
      <w:r>
        <w:rPr>
          <w:rFonts w:ascii="Arial" w:cs="Arial" w:eastAsia="Arial" w:hAnsi="Arial"/>
          <w:color w:val="333333"/>
          <w:sz w:val="22"/>
          <w:szCs w:val="22"/>
        </w:rPr>
        <w:t xml:space="preserve">. This means using a smaller initial position—typically half your normal size—and being prepared to cut quickly if the stock fails to follow through.</w:t>
      </w:r>
    </w:p>
    <w:p>
      <w:pPr>
        <w:spacing w:after="200" w:line="276"/>
      </w:pPr>
      <w:r>
        <w:rPr>
          <w:rFonts w:ascii="Arial" w:cs="Arial" w:eastAsia="Arial" w:hAnsi="Arial"/>
          <w:color w:val="333333"/>
          <w:sz w:val="22"/>
          <w:szCs w:val="22"/>
        </w:rPr>
        <w:t xml:space="preserve">The position sizing logic works like this: start with a half-size pilot position at the shakeout plus 3 entry. If the stock continues higher and eventually breaks out through the standard pivot point, you can add to bring the position to full size. If the stock rolls over and fails to recover, you sell the pilot position at a small loss. Either way, your risk is capped because you started small.</w:t>
      </w:r>
    </w:p>
    <w:p>
      <w:pPr>
        <w:spacing w:after="200" w:line="276"/>
      </w:pPr>
      <w:r>
        <w:rPr>
          <w:rFonts w:ascii="Arial" w:cs="Arial" w:eastAsia="Arial" w:hAnsi="Arial"/>
          <w:color w:val="333333"/>
          <w:sz w:val="22"/>
          <w:szCs w:val="22"/>
        </w:rPr>
        <w:t xml:space="preserve">About fifty percent of stocks that break out through their pivot point will pull back to retest that pivot level. If you entered at the shakeout plus 3 buy point, your average cost is meaningfully lower than the pivot, which means you can endure the retest with minimal stress. This psychological advantage is one of the key benefits of the early entry—it allows you to sit through normal base-building volatility that might otherwise shake you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none" w:sz="0"/>
              <w:right w:val="single" w:color="2E74B5" w:sz="6"/>
            </w:tcBorders>
            <w:shd w:fill="E8F4FD" w:val="clear"/>
            <w:tcMar>
              <w:top w:type="dxa" w:w="100"/>
              <w:left w:type="dxa" w:w="160"/>
              <w:bottom w:type="dxa" w:w="100"/>
              <w:right w:type="dxa" w:w="160"/>
            </w:tcMar>
          </w:tcPr>
          <w:p>
            <w:pPr>
              <w:spacing w:after="40"/>
            </w:pPr>
            <w:r>
              <w:rPr>
                <w:rFonts w:ascii="Arial" w:cs="Arial" w:eastAsia="Arial" w:hAnsi="Arial"/>
                <w:b/>
                <w:bCs/>
                <w:color w:val="2E74B5"/>
                <w:sz w:val="22"/>
                <w:szCs w:val="22"/>
              </w:rPr>
              <w:t xml:space="preserve">💻 How the System Helps</w:t>
            </w:r>
          </w:p>
        </w:tc>
      </w:tr>
      <w:tr>
        <w:tc>
          <w:tcPr>
            <w:tcW w:type="dxa" w:w="9360"/>
            <w:tcBorders>
              <w:top w:val="none" w:sz="0"/>
              <w:left w:val="single" w:color="2E74B5" w:sz="6"/>
              <w:bottom w:val="single" w:color="2E74B5" w:sz="6"/>
              <w:right w:val="single" w:color="2E74B5" w:sz="6"/>
            </w:tcBorders>
            <w:shd w:fill="E8F4FD" w:val="clear"/>
            <w:tcMar>
              <w:top w:type="dxa" w:w="100"/>
              <w:left w:type="dxa" w:w="160"/>
              <w:bottom w:type="dxa" w:w="100"/>
              <w:right w:type="dxa" w:w="160"/>
            </w:tcMar>
          </w:tcPr>
          <w:p>
            <w:pPr>
              <w:spacing w:after="80" w:line="260"/>
            </w:pPr>
            <w:r>
              <w:rPr>
                <w:rFonts w:ascii="Arial" w:cs="Arial" w:eastAsia="Arial" w:hAnsi="Arial"/>
                <w:color w:val="333333"/>
                <w:sz w:val="20"/>
                <w:szCs w:val="20"/>
              </w:rPr>
              <w:t xml:space="preserve">The monitor tracks base formation and identifies undercut-and-recover patterns.</w:t>
            </w:r>
          </w:p>
          <w:p>
            <w:pPr>
              <w:spacing w:after="80" w:line="260"/>
            </w:pPr>
            <w:r>
              <w:rPr>
                <w:rFonts w:ascii="Arial" w:cs="Arial" w:eastAsia="Arial" w:hAnsi="Arial"/>
                <w:color w:val="333333"/>
                <w:sz w:val="20"/>
                <w:szCs w:val="20"/>
              </w:rPr>
              <w:t xml:space="preserve">When a stock undercuts a prior base low and then recovers above the first low + 10%, the system generates a SHAKEOUT_PLUS_3 alert.</w:t>
            </w:r>
          </w:p>
          <w:p>
            <w:pPr>
              <w:spacing w:after="80" w:line="260"/>
            </w:pPr>
            <w:r>
              <w:rPr>
                <w:rFonts w:ascii="Arial" w:cs="Arial" w:eastAsia="Arial" w:hAnsi="Arial"/>
                <w:color w:val="333333"/>
                <w:sz w:val="20"/>
                <w:szCs w:val="20"/>
              </w:rPr>
              <w:t xml:space="preserve">The alert includes the calculated entry price, the standard pivot for comparison, and the recommended pilot position size.</w:t>
            </w:r>
          </w:p>
          <w:p>
            <w:pPr>
              <w:spacing w:after="80" w:line="260"/>
            </w:pPr>
            <w:r>
              <w:rPr>
                <w:rFonts w:ascii="Arial" w:cs="Arial" w:eastAsia="Arial" w:hAnsi="Arial"/>
                <w:color w:val="333333"/>
                <w:sz w:val="20"/>
                <w:szCs w:val="20"/>
              </w:rPr>
              <w:t xml:space="preserve">The "Shakeout +3" pattern type is available in the watchlist dropdown for manual tracking and scoring.</w:t>
            </w:r>
          </w:p>
        </w:tc>
      </w:tr>
    </w:tbl>
    <w:p>
      <w:pPr>
        <w:pStyle w:val="Heading2"/>
        <w:spacing w:before="280" w:after="160"/>
      </w:pPr>
      <w:r>
        <w:rPr>
          <w:rFonts w:ascii="Arial" w:cs="Arial" w:eastAsia="Arial" w:hAnsi="Arial"/>
          <w:b/>
          <w:bCs/>
          <w:color w:val="2E74B5"/>
          <w:sz w:val="28"/>
          <w:szCs w:val="28"/>
        </w:rPr>
        <w:t xml:space="preserve">28.4 Confluence Zone Entries</w:t>
      </w:r>
    </w:p>
    <w:p>
      <w:pPr>
        <w:spacing w:after="200" w:line="276"/>
      </w:pPr>
      <w:r>
        <w:rPr>
          <w:rFonts w:ascii="Arial" w:cs="Arial" w:eastAsia="Arial" w:hAnsi="Arial"/>
          <w:color w:val="333333"/>
          <w:sz w:val="22"/>
          <w:szCs w:val="22"/>
        </w:rPr>
        <w:t xml:space="preserve">A confluence zone occurs when multiple support levels converge within a narrow price range. For example, a stock might have its 50-day moving average at one hundred dollars, a prior pivot point at ninety-nine dollars, and a trend line connecting prior lows at one hundred and one dollars. The clustering of these support levels creates a zone where institutional buying pressure is likely to be strongest, because different groups of institutional investors are referencing different support levels that all happen to align.</w:t>
      </w:r>
    </w:p>
    <w:p>
      <w:pPr>
        <w:spacing w:after="200" w:line="276"/>
      </w:pPr>
      <w:r>
        <w:rPr>
          <w:rFonts w:ascii="Arial" w:cs="Arial" w:eastAsia="Arial" w:hAnsi="Arial"/>
          <w:color w:val="333333"/>
          <w:sz w:val="22"/>
          <w:szCs w:val="22"/>
        </w:rPr>
        <w:t xml:space="preserve">Confluence zones are powerful because they provide clear stop-loss placement: if the stock drops through the entire confluence zone, all three support levels have failed simultaneously, which is an unambiguous exit signal. Conversely, if the stock bounces from the zone, you have high confidence that institutional support is genuine because multiple reference points held.</w:t>
      </w:r>
    </w:p>
    <w:p>
      <w:pPr>
        <w:spacing w:before="200" w:after="120"/>
      </w:pPr>
      <w:r>
        <w:rPr>
          <w:rFonts w:ascii="Arial" w:cs="Arial" w:eastAsia="Arial" w:hAnsi="Arial"/>
          <w:b/>
          <w:bCs/>
          <w:color w:val="2E74B5"/>
          <w:sz w:val="24"/>
          <w:szCs w:val="24"/>
        </w:rPr>
        <w:t xml:space="preserve">Types of Confluence</w:t>
      </w:r>
    </w:p>
    <w:p>
      <w:pPr>
        <w:spacing w:after="200" w:line="276"/>
      </w:pPr>
      <w:r>
        <w:rPr>
          <w:rFonts w:ascii="Arial" w:cs="Arial" w:eastAsia="Arial" w:hAnsi="Arial"/>
          <w:color w:val="333333"/>
          <w:sz w:val="22"/>
          <w:szCs w:val="22"/>
        </w:rPr>
        <w:t xml:space="preserve">The most common confluence combinations include the 50-day moving average meeting a prior pivot point (the level the stock originally broke out from), the 50-day moving average converging with the 21-day EMA and a rising trend line, and a round number (like one hundred or two hundred dollars) aligning with a moving average. The system identifies confluence zones by measuring the spread between all active support levels. When three or more support references fall within a two percent range, it flags the zone and generates an alert.</w:t>
      </w:r>
    </w:p>
    <w:p>
      <w:pPr>
        <w:spacing w:after="200" w:line="276"/>
      </w:pPr>
      <w:r>
        <w:rPr>
          <w:rFonts w:ascii="Arial" w:cs="Arial" w:eastAsia="Arial" w:hAnsi="Arial"/>
          <w:color w:val="333333"/>
          <w:sz w:val="22"/>
          <w:szCs w:val="22"/>
        </w:rPr>
        <w:t xml:space="preserve">MarketSurge product coach Nicholas notes that these overlapping support areas represent </w:t>
      </w:r>
      <w:r>
        <w:rPr>
          <w:rFonts w:ascii="Arial" w:cs="Arial" w:eastAsia="Arial" w:hAnsi="Arial"/>
          <w:i/>
          <w:iCs/>
          <w:color w:val="333333"/>
          <w:sz w:val="22"/>
          <w:szCs w:val="22"/>
        </w:rPr>
        <w:t xml:space="preserve">a very strong support area when you see something like this</w:t>
      </w:r>
      <w:r>
        <w:rPr>
          <w:rFonts w:ascii="Arial" w:cs="Arial" w:eastAsia="Arial" w:hAnsi="Arial"/>
          <w:color w:val="333333"/>
          <w:sz w:val="22"/>
          <w:szCs w:val="22"/>
        </w:rPr>
        <w:t xml:space="preserve">—the combination of a prior buy point acting as support plus a key moving average creates a high-probability entry point. The system evaluates confluence using the prior pivot level, the 21-day EMA, the 50-day SMA, and the 200-day 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none" w:sz="0"/>
              <w:right w:val="single" w:color="2E74B5" w:sz="6"/>
            </w:tcBorders>
            <w:shd w:fill="E8F4FD" w:val="clear"/>
            <w:tcMar>
              <w:top w:type="dxa" w:w="100"/>
              <w:left w:type="dxa" w:w="160"/>
              <w:bottom w:type="dxa" w:w="100"/>
              <w:right w:type="dxa" w:w="160"/>
            </w:tcMar>
          </w:tcPr>
          <w:p>
            <w:pPr>
              <w:spacing w:after="40"/>
            </w:pPr>
            <w:r>
              <w:rPr>
                <w:rFonts w:ascii="Arial" w:cs="Arial" w:eastAsia="Arial" w:hAnsi="Arial"/>
                <w:b/>
                <w:bCs/>
                <w:color w:val="2E74B5"/>
                <w:sz w:val="22"/>
                <w:szCs w:val="22"/>
              </w:rPr>
              <w:t xml:space="preserve">💻 How the System Helps</w:t>
            </w:r>
          </w:p>
        </w:tc>
      </w:tr>
      <w:tr>
        <w:tc>
          <w:tcPr>
            <w:tcW w:type="dxa" w:w="9360"/>
            <w:tcBorders>
              <w:top w:val="none" w:sz="0"/>
              <w:left w:val="single" w:color="2E74B5" w:sz="6"/>
              <w:bottom w:val="single" w:color="2E74B5" w:sz="6"/>
              <w:right w:val="single" w:color="2E74B5" w:sz="6"/>
            </w:tcBorders>
            <w:shd w:fill="E8F4FD" w:val="clear"/>
            <w:tcMar>
              <w:top w:type="dxa" w:w="100"/>
              <w:left w:type="dxa" w:w="160"/>
              <w:bottom w:type="dxa" w:w="100"/>
              <w:right w:type="dxa" w:w="160"/>
            </w:tcMar>
          </w:tcPr>
          <w:p>
            <w:pPr>
              <w:spacing w:after="80" w:line="260"/>
            </w:pPr>
            <w:r>
              <w:rPr>
                <w:rFonts w:ascii="Arial" w:cs="Arial" w:eastAsia="Arial" w:hAnsi="Arial"/>
                <w:color w:val="333333"/>
                <w:sz w:val="20"/>
                <w:szCs w:val="20"/>
              </w:rPr>
              <w:t xml:space="preserve">The system continuously tracks the distance between price and all active support levels.</w:t>
            </w:r>
          </w:p>
          <w:p>
            <w:pPr>
              <w:spacing w:after="80" w:line="260"/>
            </w:pPr>
            <w:r>
              <w:rPr>
                <w:rFonts w:ascii="Arial" w:cs="Arial" w:eastAsia="Arial" w:hAnsi="Arial"/>
                <w:color w:val="333333"/>
                <w:sz w:val="20"/>
                <w:szCs w:val="20"/>
              </w:rPr>
              <w:t xml:space="preserve">When three or more support levels converge within a 2% spread, it generates a CONFLUENCE alert.</w:t>
            </w:r>
          </w:p>
          <w:p>
            <w:pPr>
              <w:spacing w:after="80" w:line="260"/>
            </w:pPr>
            <w:r>
              <w:rPr>
                <w:rFonts w:ascii="Arial" w:cs="Arial" w:eastAsia="Arial" w:hAnsi="Arial"/>
                <w:color w:val="333333"/>
                <w:sz w:val="20"/>
                <w:szCs w:val="20"/>
              </w:rPr>
              <w:t xml:space="preserve">The alert lists each support level, its exact price, and the overall spread of the zone.</w:t>
            </w:r>
          </w:p>
          <w:p>
            <w:pPr>
              <w:spacing w:after="80" w:line="260"/>
            </w:pPr>
            <w:r>
              <w:rPr>
                <w:rFonts w:ascii="Arial" w:cs="Arial" w:eastAsia="Arial" w:hAnsi="Arial"/>
                <w:color w:val="333333"/>
                <w:sz w:val="20"/>
                <w:szCs w:val="20"/>
              </w:rPr>
              <w:t xml:space="preserve">Stop placement guidance: 1–2% below the lowest support level in the zone.</w:t>
            </w:r>
          </w:p>
        </w:tc>
      </w:tr>
    </w:tbl>
    <w:p>
      <w:pPr>
        <w:pStyle w:val="Heading2"/>
        <w:spacing w:before="280" w:after="160"/>
      </w:pPr>
      <w:r>
        <w:rPr>
          <w:rFonts w:ascii="Arial" w:cs="Arial" w:eastAsia="Arial" w:hAnsi="Arial"/>
          <w:b/>
          <w:bCs/>
          <w:color w:val="2E74B5"/>
          <w:sz w:val="28"/>
          <w:szCs w:val="28"/>
        </w:rPr>
        <w:t xml:space="preserve">28.5 The Pivot Retest Entry</w:t>
      </w:r>
    </w:p>
    <w:p>
      <w:pPr>
        <w:spacing w:after="200" w:line="276"/>
      </w:pPr>
      <w:r>
        <w:rPr>
          <w:rFonts w:ascii="Arial" w:cs="Arial" w:eastAsia="Arial" w:hAnsi="Arial"/>
          <w:color w:val="333333"/>
          <w:sz w:val="22"/>
          <w:szCs w:val="22"/>
        </w:rPr>
        <w:t xml:space="preserve">After a stock breaks out through its pivot point, it is not uncommon for the stock to pull back and retest the pivot—sometimes called “kissing the pivot goodbye.” About half of all successful breakouts will pull back to touch or come very close to the original pivot level before resuming their advance. This retest transforms the pivot from resistance into support, confirming institutional commitment to the stock.</w:t>
      </w:r>
    </w:p>
    <w:p>
      <w:pPr>
        <w:spacing w:after="200" w:line="276"/>
      </w:pPr>
      <w:r>
        <w:rPr>
          <w:rFonts w:ascii="Arial" w:cs="Arial" w:eastAsia="Arial" w:hAnsi="Arial"/>
          <w:color w:val="333333"/>
          <w:sz w:val="22"/>
          <w:szCs w:val="22"/>
        </w:rPr>
        <w:t xml:space="preserve">For traders who missed the original breakout, the pivot retest provides a second-chance entry with excellent risk-reward characteristics. Your stop is tight—just one to two percent below the pivot—because if the pivot fails as support, the breakout has likely failed entirely. Your upside target remains the same as the original breakout target. This combination of tight stop and full upside potential makes the pivot retest one of the most efficient entry techniques available.</w:t>
      </w:r>
    </w:p>
    <w:p>
      <w:pPr>
        <w:spacing w:after="200" w:line="276"/>
      </w:pPr>
      <w:r>
        <w:rPr>
          <w:rFonts w:ascii="Arial" w:cs="Arial" w:eastAsia="Arial" w:hAnsi="Arial"/>
          <w:color w:val="333333"/>
          <w:sz w:val="22"/>
          <w:szCs w:val="22"/>
        </w:rPr>
        <w:t xml:space="preserve">The system detects pivot retests by monitoring stocks that have broken out and subsequently pulled back to within one percent of their original pivot level. The alert includes the pivot price, the distance from the current price to the pivot, and the volume pattern during the pullback (you want declining volume on the pullback and increasing volume on the bounce).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none" w:sz="0"/>
              <w:right w:val="single" w:color="2E74B5" w:sz="6"/>
            </w:tcBorders>
            <w:shd w:fill="E8F4FD" w:val="clear"/>
            <w:tcMar>
              <w:top w:type="dxa" w:w="100"/>
              <w:left w:type="dxa" w:w="160"/>
              <w:bottom w:type="dxa" w:w="100"/>
              <w:right w:type="dxa" w:w="160"/>
            </w:tcMar>
          </w:tcPr>
          <w:p>
            <w:pPr>
              <w:spacing w:after="40"/>
            </w:pPr>
            <w:r>
              <w:rPr>
                <w:rFonts w:ascii="Arial" w:cs="Arial" w:eastAsia="Arial" w:hAnsi="Arial"/>
                <w:b/>
                <w:bCs/>
                <w:color w:val="2E74B5"/>
                <w:sz w:val="22"/>
                <w:szCs w:val="22"/>
              </w:rPr>
              <w:t xml:space="preserve">💻 How the System Helps</w:t>
            </w:r>
          </w:p>
        </w:tc>
      </w:tr>
      <w:tr>
        <w:tc>
          <w:tcPr>
            <w:tcW w:type="dxa" w:w="9360"/>
            <w:tcBorders>
              <w:top w:val="none" w:sz="0"/>
              <w:left w:val="single" w:color="2E74B5" w:sz="6"/>
              <w:bottom w:val="single" w:color="2E74B5" w:sz="6"/>
              <w:right w:val="single" w:color="2E74B5" w:sz="6"/>
            </w:tcBorders>
            <w:shd w:fill="E8F4FD" w:val="clear"/>
            <w:tcMar>
              <w:top w:type="dxa" w:w="100"/>
              <w:left w:type="dxa" w:w="160"/>
              <w:bottom w:type="dxa" w:w="100"/>
              <w:right w:type="dxa" w:w="160"/>
            </w:tcMar>
          </w:tcPr>
          <w:p>
            <w:pPr>
              <w:spacing w:after="80" w:line="260"/>
            </w:pPr>
            <w:r>
              <w:rPr>
                <w:rFonts w:ascii="Arial" w:cs="Arial" w:eastAsia="Arial" w:hAnsi="Arial"/>
                <w:color w:val="333333"/>
                <w:sz w:val="20"/>
                <w:szCs w:val="20"/>
              </w:rPr>
              <w:t xml:space="preserve">The system generates ALT_ENTRY:PIVOT_RETEST alerts when a broken-out stock returns to within 1% of its pivot.</w:t>
            </w:r>
          </w:p>
          <w:p>
            <w:pPr>
              <w:spacing w:after="80" w:line="260"/>
            </w:pPr>
            <w:r>
              <w:rPr>
                <w:rFonts w:ascii="Arial" w:cs="Arial" w:eastAsia="Arial" w:hAnsi="Arial"/>
                <w:color w:val="333333"/>
                <w:sz w:val="20"/>
                <w:szCs w:val="20"/>
              </w:rPr>
              <w:t xml:space="preserve">Volume analysis is included: declining volume on the pullback = healthy; rising volume on the pullback = caution.</w:t>
            </w:r>
          </w:p>
          <w:p>
            <w:pPr>
              <w:spacing w:after="80" w:line="260"/>
            </w:pPr>
            <w:r>
              <w:rPr>
                <w:rFonts w:ascii="Arial" w:cs="Arial" w:eastAsia="Arial" w:hAnsi="Arial"/>
                <w:color w:val="333333"/>
                <w:sz w:val="20"/>
                <w:szCs w:val="20"/>
              </w:rPr>
              <w:t xml:space="preserve">The alert recommends normal 50% initial position size with a stop 1–2% below the pivot.</w:t>
            </w:r>
          </w:p>
          <w:p>
            <w:pPr>
              <w:spacing w:after="80" w:line="260"/>
            </w:pPr>
            <w:r>
              <w:rPr>
                <w:rFonts w:ascii="Arial" w:cs="Arial" w:eastAsia="Arial" w:hAnsi="Arial"/>
                <w:color w:val="333333"/>
                <w:sz w:val="20"/>
                <w:szCs w:val="20"/>
              </w:rPr>
              <w:t xml:space="preserve">This alert type only fires for stocks that have already achieved a valid breakout (not stocks that never cleared the pivot).</w:t>
            </w:r>
          </w:p>
        </w:tc>
      </w:tr>
    </w:tbl>
    <w:p>
      <w:r>
        <w:br w:type="page"/>
      </w:r>
    </w:p>
    <w:p>
      <w:pPr>
        <w:pStyle w:val="Heading1"/>
        <w:spacing w:before="360" w:after="200"/>
      </w:pPr>
      <w:r>
        <w:rPr>
          <w:rFonts w:ascii="Arial" w:cs="Arial" w:eastAsia="Arial" w:hAnsi="Arial"/>
          <w:b/>
          <w:bCs/>
          <w:color w:val="1F4D78"/>
          <w:sz w:val="36"/>
          <w:szCs w:val="36"/>
        </w:rPr>
        <w:t xml:space="preserve">Chapter 29: The Learning Engine</w:t>
      </w:r>
    </w:p>
    <w:p>
      <w:pPr>
        <w:spacing w:after="200" w:line="276"/>
      </w:pPr>
      <w:r>
        <w:rPr>
          <w:rFonts w:ascii="Arial" w:cs="Arial" w:eastAsia="Arial" w:hAnsi="Arial"/>
          <w:color w:val="333333"/>
          <w:sz w:val="22"/>
          <w:szCs w:val="22"/>
        </w:rPr>
        <w:t xml:space="preserve">The CANSLIM Monitor’s scoring engine assigns grades to potential trade setups based on a set of weighted factors: RS Rating, pattern type, base stage, base depth, base length, and various dynamic technical indicators. These weights were initially set based on historical research, IBD methodology, and empirical observation. But here is the fundamental question: are those initial weights optimal?</w:t>
      </w:r>
    </w:p>
    <w:p>
      <w:pPr>
        <w:spacing w:after="200" w:line="276"/>
      </w:pPr>
      <w:r>
        <w:rPr>
          <w:rFonts w:ascii="Arial" w:cs="Arial" w:eastAsia="Arial" w:hAnsi="Arial"/>
          <w:color w:val="333333"/>
          <w:sz w:val="22"/>
          <w:szCs w:val="22"/>
        </w:rPr>
        <w:t xml:space="preserve">The learning engine is designed to answer that question. It analyzes the outcomes of your actual trades—which setups succeeded, which failed, and what factors were present at the time of entry—to determine whether the scoring weights should be adjusted. It uses statistical analysis and machine learning to identify which factors most strongly predict success in your trading, and it proposes weight adjustments that would improve the scoring algorithm’s accuracy.</w:t>
      </w:r>
    </w:p>
    <w:p>
      <w:pPr>
        <w:spacing w:after="200" w:line="276"/>
      </w:pPr>
      <w:r>
        <w:rPr>
          <w:rFonts w:ascii="Arial" w:cs="Arial" w:eastAsia="Arial" w:hAnsi="Arial"/>
          <w:color w:val="333333"/>
          <w:sz w:val="22"/>
          <w:szCs w:val="22"/>
        </w:rPr>
        <w:t xml:space="preserve">The critical word in the previous paragraph is “proposes.” The learning engine never changes weights automatically. It follows a strict human-in-the-loop approval process: the system analyzes outcomes, generates suggestions, presents those suggestions for your review through the GUI and Discord, and waits for your explicit approval before activating any changes. This design ensures that you remain in control of the system’s behavior at all times.</w:t>
      </w:r>
    </w:p>
    <w:p>
      <w:pPr>
        <w:pStyle w:val="Heading2"/>
        <w:spacing w:before="280" w:after="160"/>
      </w:pPr>
      <w:r>
        <w:rPr>
          <w:rFonts w:ascii="Arial" w:cs="Arial" w:eastAsia="Arial" w:hAnsi="Arial"/>
          <w:b/>
          <w:bCs/>
          <w:color w:val="2E74B5"/>
          <w:sz w:val="28"/>
          <w:szCs w:val="28"/>
        </w:rPr>
        <w:t xml:space="preserve">29.1 Data Requirements</w:t>
      </w:r>
    </w:p>
    <w:p>
      <w:pPr>
        <w:spacing w:after="200" w:line="276"/>
      </w:pPr>
      <w:r>
        <w:rPr>
          <w:rFonts w:ascii="Arial" w:cs="Arial" w:eastAsia="Arial" w:hAnsi="Arial"/>
          <w:color w:val="333333"/>
          <w:sz w:val="22"/>
          <w:szCs w:val="22"/>
        </w:rPr>
        <w:t xml:space="preserve">Machine learning is only as good as the data it learns from. The learning engine requires a minimum dataset before it can produce reliable recommendations. Without sufficient data, any patterns it identifies could be noise rather than signal, and weight adjustments based on noise would degrade rather than improve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343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Minimum (Analysis)</w:t>
            </w:r>
          </w:p>
        </w:tc>
        <w:tc>
          <w:tcPr>
            <w:tcW w:type="dxa" w:w="343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Ideal (Optimization)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Closed positions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50</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100+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Successful trades</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20</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40+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Failed trades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20</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40+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Trading history</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3 months</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6+ months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Market regimes represented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At least 1 (bull or bear)</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 (bull and bear)</w:t>
            </w:r>
          </w:p>
        </w:tc>
      </w:tr>
    </w:tbl>
    <w:p>
      <w:pPr>
        <w:spacing w:before="80" w:after="0"/>
      </w:pPr>
    </w:p>
    <w:p>
      <w:pPr>
        <w:spacing w:after="200" w:line="276"/>
      </w:pPr>
      <w:r>
        <w:rPr>
          <w:rFonts w:ascii="Arial" w:cs="Arial" w:eastAsia="Arial" w:hAnsi="Arial"/>
          <w:color w:val="333333"/>
          <w:sz w:val="22"/>
          <w:szCs w:val="22"/>
        </w:rPr>
        <w:t xml:space="preserve">Outcomes are classified into four categories based on the final result of each closed trade. A SUCCESS trade gained twenty percent or more from the entry price, earning a score of 1.0 for regression purposes. A PARTIAL trade gained between zero and twenty percent, scoring 0.5. A STOPPED trade hit the seven to eight percent stop loss, scoring 0.0. And a FAILED trade lost money but was closed for a reason other than the stop—perhaps a market regime change or a fundamental deterioration—also scoring 0.0. This four-tier classification provides more nuance than a simple binary win/loss system.</w:t>
      </w:r>
    </w:p>
    <w:p>
      <w:pPr>
        <w:spacing w:after="200" w:line="276"/>
      </w:pPr>
      <w:r>
        <w:rPr>
          <w:rFonts w:ascii="Arial" w:cs="Arial" w:eastAsia="Arial" w:hAnsi="Arial"/>
          <w:color w:val="333333"/>
          <w:sz w:val="22"/>
          <w:szCs w:val="22"/>
        </w:rPr>
        <w:t xml:space="preserve">The outcome data is populated automatically when you close positions in the CANSLIM Monitor. The system captures a snapshot of all relevant factors at the time of entry—RS Rating, EPS Rating, Composite Rating, A/D Rating, base stage, base depth, pattern type, market regime, and more—and stores it alongside the exit data. You can also import historical trades from TradesViz CSV exports to seed the learning engine with past data.</w:t>
      </w:r>
    </w:p>
    <w:p>
      <w:pPr>
        <w:pStyle w:val="Heading2"/>
        <w:spacing w:before="280" w:after="160"/>
      </w:pPr>
      <w:r>
        <w:rPr>
          <w:rFonts w:ascii="Arial" w:cs="Arial" w:eastAsia="Arial" w:hAnsi="Arial"/>
          <w:b/>
          <w:bCs/>
          <w:color w:val="2E74B5"/>
          <w:sz w:val="28"/>
          <w:szCs w:val="28"/>
        </w:rPr>
        <w:t xml:space="preserve">29.2 Factor Correlation Analysis</w:t>
      </w:r>
    </w:p>
    <w:p>
      <w:pPr>
        <w:spacing w:after="200" w:line="276"/>
      </w:pPr>
      <w:r>
        <w:rPr>
          <w:rFonts w:ascii="Arial" w:cs="Arial" w:eastAsia="Arial" w:hAnsi="Arial"/>
          <w:color w:val="333333"/>
          <w:sz w:val="22"/>
          <w:szCs w:val="22"/>
        </w:rPr>
        <w:t xml:space="preserve">Before adjusting any weights, the learning engine performs a comprehensive factor analysis. For each scoring factor, it calculates the correlation with trading outcomes, breaks success rates down by quintile, and identifies optimal thresholds. This analysis reveals which factors in your trading actually predict success and which are noise.</w:t>
      </w:r>
    </w:p>
    <w:p>
      <w:pPr>
        <w:spacing w:after="200" w:line="276"/>
      </w:pPr>
      <w:r>
        <w:rPr>
          <w:rFonts w:ascii="Arial" w:cs="Arial" w:eastAsia="Arial" w:hAnsi="Arial"/>
          <w:color w:val="333333"/>
          <w:sz w:val="22"/>
          <w:szCs w:val="22"/>
        </w:rPr>
        <w:t xml:space="preserve">Early analysis of CANSLIM trades has already revealed one powerful finding: RS Rating above 90 correlates with a 75 percent success rate, while RS Ratings below 70 show a zero percent success rate. This finding validated the RS Rating floor rule that caps any stock below 70 RS at a maximum grade of C, regardless of how strong its other factors might be. It also confirmed that RS Rating deserves heavy weighting in the scoring algorithm.</w:t>
      </w:r>
    </w:p>
    <w:p>
      <w:pPr>
        <w:spacing w:before="200" w:after="120"/>
      </w:pPr>
      <w:r>
        <w:rPr>
          <w:rFonts w:ascii="Arial" w:cs="Arial" w:eastAsia="Arial" w:hAnsi="Arial"/>
          <w:b/>
          <w:bCs/>
          <w:color w:val="2E74B5"/>
          <w:sz w:val="24"/>
          <w:szCs w:val="24"/>
        </w:rPr>
        <w:t xml:space="preserve">The Factor Analysis Process</w:t>
      </w:r>
    </w:p>
    <w:p>
      <w:pPr>
        <w:spacing w:after="200" w:line="276"/>
      </w:pPr>
      <w:r>
        <w:rPr>
          <w:rFonts w:ascii="Arial" w:cs="Arial" w:eastAsia="Arial" w:hAnsi="Arial"/>
          <w:color w:val="333333"/>
          <w:sz w:val="22"/>
          <w:szCs w:val="22"/>
        </w:rPr>
        <w:t xml:space="preserve">The analysis proceeds in six steps. First, data collection assembles all closed positions with their entry conditions and outcomes. Second, factor correlation calculates the statistical correlation between each individual factor and the outcome score, revealing how strongly each factor predicts success. Third, quintile analysis breaks each factor into five equal groups (quintiles) and calculates the success rate within each group, showing whether the factor has a linear, threshold, or nonlinear relationship with outcomes.</w:t>
      </w:r>
    </w:p>
    <w:p>
      <w:pPr>
        <w:spacing w:after="200" w:line="276"/>
      </w:pPr>
      <w:r>
        <w:rPr>
          <w:rFonts w:ascii="Arial" w:cs="Arial" w:eastAsia="Arial" w:hAnsi="Arial"/>
          <w:color w:val="333333"/>
          <w:sz w:val="22"/>
          <w:szCs w:val="22"/>
        </w:rPr>
        <w:t xml:space="preserve">Fourth, optimal threshold detection identifies the specific value of each factor that best separates winning trades from losing trades. For RS Rating, this might confirm that 85 is a stronger dividing line than the current 70 floor. Fifth, confidence assessment uses bootstrap methods to calculate confidence intervals around each finding, ensuring that the results are statistically significant rather than artifacts of a small sample. Sixth, the system generates a comprehensive report that you can review in the analytics dashboard or receive as a Discord notification.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30"/>
        <w:gridCol w:w="2000"/>
        <w:gridCol w:w="2430"/>
      </w:tblGrid>
      <w:tr>
        <w:tc>
          <w:tcPr>
            <w:tcW w:type="dxa" w:w="25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Factor</w:t>
            </w:r>
          </w:p>
        </w:tc>
        <w:tc>
          <w:tcPr>
            <w:tcW w:type="dxa" w:w="243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Expected Correlation</w:t>
            </w:r>
          </w:p>
        </w:tc>
        <w:tc>
          <w:tcPr>
            <w:tcW w:type="dxa" w:w="20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Direction</w:t>
            </w:r>
          </w:p>
        </w:tc>
        <w:tc>
          <w:tcPr>
            <w:tcW w:type="dxa" w:w="243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Weight Impact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RS Rating</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Strong (+0.30 to +0.40)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Positive</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High weight justified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Base Stage</w:t>
            </w:r>
          </w:p>
        </w:tc>
        <w:tc>
          <w:tcPr>
            <w:tcW w:type="dxa" w:w="2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Strong (–0.25 to –0.35)</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Negative</w:t>
            </w:r>
          </w:p>
        </w:tc>
        <w:tc>
          <w:tcPr>
            <w:tcW w:type="dxa" w:w="2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Heavy penalty for late stages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Pattern Type</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Moderate (+0.15 to +0.25)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Positive</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Cup w/Handle scores highest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Base Depth</w:t>
            </w:r>
          </w:p>
        </w:tc>
        <w:tc>
          <w:tcPr>
            <w:tcW w:type="dxa" w:w="2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Mild (–0.10 to –0.15)</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Negative</w:t>
            </w:r>
          </w:p>
        </w:tc>
        <w:tc>
          <w:tcPr>
            <w:tcW w:type="dxa" w:w="2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Deeper = worse, but complex</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Market Regime</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Strong (+0.25 to +0.35)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Positive</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Bullish regime = higher success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Volume Dry-Up</w:t>
            </w:r>
          </w:p>
        </w:tc>
        <w:tc>
          <w:tcPr>
            <w:tcW w:type="dxa" w:w="2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Moderate (+0.15 to +0.25)</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Positive</w:t>
            </w:r>
          </w:p>
        </w:tc>
        <w:tc>
          <w:tcPr>
            <w:tcW w:type="dxa" w:w="2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Drier = better setup</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none" w:sz="0"/>
              <w:right w:val="single" w:color="2E74B5" w:sz="6"/>
            </w:tcBorders>
            <w:shd w:fill="E8F4FD" w:val="clear"/>
            <w:tcMar>
              <w:top w:type="dxa" w:w="100"/>
              <w:left w:type="dxa" w:w="160"/>
              <w:bottom w:type="dxa" w:w="100"/>
              <w:right w:type="dxa" w:w="160"/>
            </w:tcMar>
          </w:tcPr>
          <w:p>
            <w:pPr>
              <w:spacing w:after="40"/>
            </w:pPr>
            <w:r>
              <w:rPr>
                <w:rFonts w:ascii="Arial" w:cs="Arial" w:eastAsia="Arial" w:hAnsi="Arial"/>
                <w:b/>
                <w:bCs/>
                <w:color w:val="2E74B5"/>
                <w:sz w:val="22"/>
                <w:szCs w:val="22"/>
              </w:rPr>
              <w:t xml:space="preserve">💻 How the System Helps</w:t>
            </w:r>
          </w:p>
        </w:tc>
      </w:tr>
      <w:tr>
        <w:tc>
          <w:tcPr>
            <w:tcW w:type="dxa" w:w="9360"/>
            <w:tcBorders>
              <w:top w:val="none" w:sz="0"/>
              <w:left w:val="single" w:color="2E74B5" w:sz="6"/>
              <w:bottom w:val="single" w:color="2E74B5" w:sz="6"/>
              <w:right w:val="single" w:color="2E74B5" w:sz="6"/>
            </w:tcBorders>
            <w:shd w:fill="E8F4FD" w:val="clear"/>
            <w:tcMar>
              <w:top w:type="dxa" w:w="100"/>
              <w:left w:type="dxa" w:w="160"/>
              <w:bottom w:type="dxa" w:w="100"/>
              <w:right w:type="dxa" w:w="160"/>
            </w:tcMar>
          </w:tcPr>
          <w:p>
            <w:pPr>
              <w:spacing w:after="80" w:line="260"/>
            </w:pPr>
            <w:r>
              <w:rPr>
                <w:rFonts w:ascii="Arial" w:cs="Arial" w:eastAsia="Arial" w:hAnsi="Arial"/>
                <w:color w:val="333333"/>
                <w:sz w:val="20"/>
                <w:szCs w:val="20"/>
              </w:rPr>
              <w:t xml:space="preserve">Factor analysis runs on demand from the GUI analytics dashboard or via CLI command.</w:t>
            </w:r>
          </w:p>
          <w:p>
            <w:pPr>
              <w:spacing w:after="80" w:line="260"/>
            </w:pPr>
            <w:r>
              <w:rPr>
                <w:rFonts w:ascii="Arial" w:cs="Arial" w:eastAsia="Arial" w:hAnsi="Arial"/>
                <w:color w:val="333333"/>
                <w:sz w:val="20"/>
                <w:szCs w:val="20"/>
              </w:rPr>
              <w:t xml:space="preserve">Results include correlation coefficients, quintile success rates, and optimal thresholds for each factor.</w:t>
            </w:r>
          </w:p>
          <w:p>
            <w:pPr>
              <w:spacing w:after="80" w:line="260"/>
            </w:pPr>
            <w:r>
              <w:rPr>
                <w:rFonts w:ascii="Arial" w:cs="Arial" w:eastAsia="Arial" w:hAnsi="Arial"/>
                <w:color w:val="333333"/>
                <w:sz w:val="20"/>
                <w:szCs w:val="20"/>
              </w:rPr>
              <w:t xml:space="preserve">The analytics dashboard visualizes factor importance as horizontal bar charts and success curves as line charts.</w:t>
            </w:r>
          </w:p>
          <w:p>
            <w:pPr>
              <w:spacing w:after="80" w:line="260"/>
            </w:pPr>
            <w:r>
              <w:rPr>
                <w:rFonts w:ascii="Arial" w:cs="Arial" w:eastAsia="Arial" w:hAnsi="Arial"/>
                <w:color w:val="333333"/>
                <w:sz w:val="20"/>
                <w:szCs w:val="20"/>
              </w:rPr>
              <w:t xml:space="preserve">All analysis results are logged to the database with timestamps for historical tracking.</w:t>
            </w:r>
          </w:p>
        </w:tc>
      </w:tr>
    </w:tbl>
    <w:p>
      <w:pPr>
        <w:pStyle w:val="Heading2"/>
        <w:spacing w:before="280" w:after="160"/>
      </w:pPr>
      <w:r>
        <w:rPr>
          <w:rFonts w:ascii="Arial" w:cs="Arial" w:eastAsia="Arial" w:hAnsi="Arial"/>
          <w:b/>
          <w:bCs/>
          <w:color w:val="2E74B5"/>
          <w:sz w:val="28"/>
          <w:szCs w:val="28"/>
        </w:rPr>
        <w:t xml:space="preserve">29.3 Weight Optimization with Ridge Regression</w:t>
      </w:r>
    </w:p>
    <w:p>
      <w:pPr>
        <w:spacing w:after="200" w:line="276"/>
      </w:pPr>
      <w:r>
        <w:rPr>
          <w:rFonts w:ascii="Arial" w:cs="Arial" w:eastAsia="Arial" w:hAnsi="Arial"/>
          <w:color w:val="333333"/>
          <w:sz w:val="22"/>
          <w:szCs w:val="22"/>
        </w:rPr>
        <w:t xml:space="preserve">Once factor analysis has identified which factors predict success, the next step is determining the optimal weights. The learning engine uses Ridge regression—a machine learning technique that finds the best linear combination of factors to predict outcomes while preventing any single factor from dominating the model.</w:t>
      </w:r>
    </w:p>
    <w:p>
      <w:pPr>
        <w:spacing w:after="200" w:line="276"/>
      </w:pPr>
      <w:r>
        <w:rPr>
          <w:rFonts w:ascii="Arial" w:cs="Arial" w:eastAsia="Arial" w:hAnsi="Arial"/>
          <w:color w:val="333333"/>
          <w:sz w:val="22"/>
          <w:szCs w:val="22"/>
        </w:rPr>
        <w:t xml:space="preserve">Ridge regression was chosen specifically for this application because it handles correlated inputs gracefully. In CANSLIM scoring, several factors are correlated: stocks with high RS Ratings tend to also have high Composite Ratings, and stocks in Stage 1 bases tend to have shallower depths. Ordinary least squares regression can produce unstable weights when inputs are correlated, but Ridge regression adds a regularization term that stabilizes the solution and produces more generalizable weights.</w:t>
      </w:r>
    </w:p>
    <w:p>
      <w:pPr>
        <w:spacing w:before="200" w:after="120"/>
      </w:pPr>
      <w:r>
        <w:rPr>
          <w:rFonts w:ascii="Arial" w:cs="Arial" w:eastAsia="Arial" w:hAnsi="Arial"/>
          <w:b/>
          <w:bCs/>
          <w:color w:val="2E74B5"/>
          <w:sz w:val="24"/>
          <w:szCs w:val="24"/>
        </w:rPr>
        <w:t xml:space="preserve">The Optimization Process</w:t>
      </w:r>
    </w:p>
    <w:p>
      <w:pPr>
        <w:spacing w:after="200" w:line="276"/>
      </w:pPr>
      <w:r>
        <w:rPr>
          <w:rFonts w:ascii="Arial" w:cs="Arial" w:eastAsia="Arial" w:hAnsi="Arial"/>
          <w:color w:val="333333"/>
          <w:sz w:val="22"/>
          <w:szCs w:val="22"/>
        </w:rPr>
        <w:t xml:space="preserve">The optimizer starts with the current weights as a baseline. It constructs a feature matrix from all closed trade outcomes, encoding each factor at the time of entry, and a target vector encoding the outcome scores. It then fits a Ridge regression model using five-fold cross-validation to estimate the model’s accuracy on unseen data. The resulting weights represent the model’s best estimate of each factor’s importance.</w:t>
      </w:r>
    </w:p>
    <w:p>
      <w:pPr>
        <w:spacing w:after="200" w:line="276"/>
      </w:pPr>
      <w:r>
        <w:rPr>
          <w:rFonts w:ascii="Arial" w:cs="Arial" w:eastAsia="Arial" w:hAnsi="Arial"/>
          <w:color w:val="333333"/>
          <w:sz w:val="22"/>
          <w:szCs w:val="22"/>
        </w:rPr>
        <w:t xml:space="preserve">After optimization, the system normalizes the weights so they sum to a reasonable total, then compares the new weights to the baseline. It calculates the expected accuracy improvement—what percentage of trades would have been correctly graded under the new weights versus the old ones—and presents both the current and suggested weights side by side for your review.</w:t>
      </w:r>
    </w:p>
    <w:p>
      <w:pPr>
        <w:spacing w:after="200" w:line="276"/>
      </w:pPr>
      <w:r>
        <w:rPr>
          <w:rFonts w:ascii="Arial" w:cs="Arial" w:eastAsia="Arial" w:hAnsi="Arial"/>
          <w:color w:val="333333"/>
          <w:sz w:val="22"/>
          <w:szCs w:val="22"/>
        </w:rPr>
        <w:t xml:space="preserve">A minimum improvement threshold of five percent accuracy gain is required before the system will recommend activation. This prevents chasing marginal improvements that might not generalize to future trades. If the optimization produces only a two percent improvement, the system will report the finding but recommend keeping the current weights.</w:t>
      </w:r>
    </w:p>
    <w:p>
      <w:pPr>
        <w:pStyle w:val="Heading2"/>
        <w:spacing w:before="280" w:after="160"/>
      </w:pPr>
      <w:r>
        <w:rPr>
          <w:rFonts w:ascii="Arial" w:cs="Arial" w:eastAsia="Arial" w:hAnsi="Arial"/>
          <w:b/>
          <w:bCs/>
          <w:color w:val="2E74B5"/>
          <w:sz w:val="28"/>
          <w:szCs w:val="28"/>
        </w:rPr>
        <w:t xml:space="preserve">29.4 Preserving IBD Immutable Rules</w:t>
      </w:r>
    </w:p>
    <w:p>
      <w:pPr>
        <w:spacing w:after="200" w:line="276"/>
      </w:pPr>
      <w:r>
        <w:rPr>
          <w:rFonts w:ascii="Arial" w:cs="Arial" w:eastAsia="Arial" w:hAnsi="Arial"/>
          <w:color w:val="333333"/>
          <w:sz w:val="22"/>
          <w:szCs w:val="22"/>
        </w:rPr>
        <w:t xml:space="preserve">The learning engine operates within strict guardrails that prevent it from undermining the core principles of the CANSLIM methodology. Certain rules are immutable—they are hardcoded into the system and cannot be overridden by any data-driven optimization.</w:t>
      </w:r>
    </w:p>
    <w:p>
      <w:pPr>
        <w:spacing w:after="200" w:line="276"/>
      </w:pPr>
      <w:r>
        <w:rPr>
          <w:rFonts w:ascii="Arial" w:cs="Arial" w:eastAsia="Arial" w:hAnsi="Arial"/>
          <w:color w:val="333333"/>
          <w:sz w:val="22"/>
          <w:szCs w:val="22"/>
        </w:rPr>
        <w:t xml:space="preserve">The most important immutable rule is the RS Rating floor. No stock with an RS Rating below 70 can receive a grade higher than C, regardless of how strong its other factors might be. This rule exists because decades of IBD research have shown that stocks with weak relative strength dramatically underperform, and our own data confirmed this with a zero percent success rate below RS 70. The learning engine is not permitted to modify this floor, even if it finds some small subset of low-RS trades that happened to succeed.</w:t>
      </w:r>
    </w:p>
    <w:p>
      <w:pPr>
        <w:spacing w:after="200" w:line="276"/>
      </w:pPr>
      <w:r>
        <w:rPr>
          <w:rFonts w:ascii="Arial" w:cs="Arial" w:eastAsia="Arial" w:hAnsi="Arial"/>
          <w:color w:val="333333"/>
          <w:sz w:val="22"/>
          <w:szCs w:val="22"/>
        </w:rPr>
        <w:t xml:space="preserve">Other immutable rules include the requirement for above-average volume on breakouts (the system will never learn to ignore volume), the maximum loss limit of seven to eight percent from the entry price (the system will never suggest wider stops), and the market regime awareness (the system will never recommend buying breakouts during confirmed market corrections). These rules are the bedrock of the methodology, and preserving them ensures that the system stays true to proven principles regardless of what the data might temporarily suggest.</w:t>
      </w:r>
    </w:p>
    <w:p>
      <w:pPr>
        <w:pStyle w:val="Heading2"/>
        <w:spacing w:before="280" w:after="160"/>
      </w:pPr>
      <w:r>
        <w:rPr>
          <w:rFonts w:ascii="Arial" w:cs="Arial" w:eastAsia="Arial" w:hAnsi="Arial"/>
          <w:b/>
          <w:bCs/>
          <w:color w:val="2E74B5"/>
          <w:sz w:val="28"/>
          <w:szCs w:val="28"/>
        </w:rPr>
        <w:t xml:space="preserve">29.5 The Weight Activation Workflow</w:t>
      </w:r>
    </w:p>
    <w:p>
      <w:pPr>
        <w:spacing w:after="200" w:line="276"/>
      </w:pPr>
      <w:r>
        <w:rPr>
          <w:rFonts w:ascii="Arial" w:cs="Arial" w:eastAsia="Arial" w:hAnsi="Arial"/>
          <w:color w:val="333333"/>
          <w:sz w:val="22"/>
          <w:szCs w:val="22"/>
        </w:rPr>
        <w:t xml:space="preserve">When the learning engine has a recommendation, it follows a formal activation workflow with five stages: analysis trigger, suggestion generation, review, decision, and monitoring.</w:t>
      </w:r>
    </w:p>
    <w:p>
      <w:pPr>
        <w:spacing w:after="200" w:line="276"/>
      </w:pPr>
      <w:r>
        <w:rPr>
          <w:rFonts w:ascii="Arial" w:cs="Arial" w:eastAsia="Arial" w:hAnsi="Arial"/>
          <w:color w:val="333333"/>
          <w:sz w:val="22"/>
          <w:szCs w:val="22"/>
        </w:rPr>
        <w:t xml:space="preserve">The analysis can be triggered either manually—when you request it from the GUI or CLI—or automatically after a configurable number of new closed positions (default: every 10 new outcomes). When triggered, the system runs both factor analysis and weight optimization, generating a comprehensive report.</w:t>
      </w:r>
    </w:p>
    <w:p>
      <w:pPr>
        <w:spacing w:after="200" w:line="276"/>
      </w:pPr>
      <w:r>
        <w:rPr>
          <w:rFonts w:ascii="Arial" w:cs="Arial" w:eastAsia="Arial" w:hAnsi="Arial"/>
          <w:color w:val="333333"/>
          <w:sz w:val="22"/>
          <w:szCs w:val="22"/>
        </w:rPr>
        <w:t xml:space="preserve">The suggestion appears in the GUI analytics dashboard as a side-by-side comparison of current weights versus proposed weights, along with the expected accuracy improvement, the sample size used, the training period, and confidence intervals. A Discord notification is sent simultaneously with a summary of the key findings.</w:t>
      </w:r>
    </w:p>
    <w:p>
      <w:pPr>
        <w:spacing w:after="200" w:line="276"/>
      </w:pPr>
      <w:r>
        <w:rPr>
          <w:rFonts w:ascii="Arial" w:cs="Arial" w:eastAsia="Arial" w:hAnsi="Arial"/>
          <w:color w:val="333333"/>
          <w:sz w:val="22"/>
          <w:szCs w:val="22"/>
        </w:rPr>
        <w:t xml:space="preserve">At this point, you have three options. You can reject the suggestion, which keeps the current weights unchanged and logs the rejection. You can activate immediately, which replaces the current weights with the new ones, archives the old weights, and begins tracking outcomes under the new configuration. Or you can choose to A/B test, which runs the new weights on a parallel scoring track for thirty days. During the test period, the system scores every setup with both the old and new weights, tracks which set of weights would have produced better outcomes, and presents the results after the test period for a final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none" w:sz="0"/>
              <w:right w:val="single" w:color="2E74B5" w:sz="6"/>
            </w:tcBorders>
            <w:shd w:fill="E8F4FD" w:val="clear"/>
            <w:tcMar>
              <w:top w:type="dxa" w:w="100"/>
              <w:left w:type="dxa" w:w="160"/>
              <w:bottom w:type="dxa" w:w="100"/>
              <w:right w:type="dxa" w:w="160"/>
            </w:tcMar>
          </w:tcPr>
          <w:p>
            <w:pPr>
              <w:spacing w:after="40"/>
            </w:pPr>
            <w:r>
              <w:rPr>
                <w:rFonts w:ascii="Arial" w:cs="Arial" w:eastAsia="Arial" w:hAnsi="Arial"/>
                <w:b/>
                <w:bCs/>
                <w:color w:val="2E74B5"/>
                <w:sz w:val="22"/>
                <w:szCs w:val="22"/>
              </w:rPr>
              <w:t xml:space="preserve">💻 How the System Helps</w:t>
            </w:r>
          </w:p>
        </w:tc>
      </w:tr>
      <w:tr>
        <w:tc>
          <w:tcPr>
            <w:tcW w:type="dxa" w:w="9360"/>
            <w:tcBorders>
              <w:top w:val="none" w:sz="0"/>
              <w:left w:val="single" w:color="2E74B5" w:sz="6"/>
              <w:bottom w:val="single" w:color="2E74B5" w:sz="6"/>
              <w:right w:val="single" w:color="2E74B5" w:sz="6"/>
            </w:tcBorders>
            <w:shd w:fill="E8F4FD" w:val="clear"/>
            <w:tcMar>
              <w:top w:type="dxa" w:w="100"/>
              <w:left w:type="dxa" w:w="160"/>
              <w:bottom w:type="dxa" w:w="100"/>
              <w:right w:type="dxa" w:w="160"/>
            </w:tcMar>
          </w:tcPr>
          <w:p>
            <w:pPr>
              <w:spacing w:after="80" w:line="260"/>
            </w:pPr>
            <w:r>
              <w:rPr>
                <w:rFonts w:ascii="Arial" w:cs="Arial" w:eastAsia="Arial" w:hAnsi="Arial"/>
                <w:color w:val="333333"/>
                <w:sz w:val="20"/>
                <w:szCs w:val="20"/>
              </w:rPr>
              <w:t xml:space="preserve">The full weight activation workflow is managed through the GUI analytics tab.</w:t>
            </w:r>
          </w:p>
          <w:p>
            <w:pPr>
              <w:spacing w:after="80" w:line="260"/>
            </w:pPr>
            <w:r>
              <w:rPr>
                <w:rFonts w:ascii="Arial" w:cs="Arial" w:eastAsia="Arial" w:hAnsi="Arial"/>
                <w:color w:val="333333"/>
                <w:sz w:val="20"/>
                <w:szCs w:val="20"/>
              </w:rPr>
              <w:t xml:space="preserve">All weight changes are logged with timestamps, sample sizes, and performance metrics.</w:t>
            </w:r>
          </w:p>
          <w:p>
            <w:pPr>
              <w:spacing w:after="80" w:line="260"/>
            </w:pPr>
            <w:r>
              <w:rPr>
                <w:rFonts w:ascii="Arial" w:cs="Arial" w:eastAsia="Arial" w:hAnsi="Arial"/>
                <w:color w:val="333333"/>
                <w:sz w:val="20"/>
                <w:szCs w:val="20"/>
              </w:rPr>
              <w:t xml:space="preserve">A/B testing runs automatically once initiated, with no additional action required during the test period.</w:t>
            </w:r>
          </w:p>
          <w:p>
            <w:pPr>
              <w:spacing w:after="80" w:line="260"/>
            </w:pPr>
            <w:r>
              <w:rPr>
                <w:rFonts w:ascii="Arial" w:cs="Arial" w:eastAsia="Arial" w:hAnsi="Arial"/>
                <w:color w:val="333333"/>
                <w:sz w:val="20"/>
                <w:szCs w:val="20"/>
              </w:rPr>
              <w:t xml:space="preserve">If performance degrades after activation, the system alerts you and suggests rolling back to prior weights.</w:t>
            </w:r>
          </w:p>
          <w:p>
            <w:pPr>
              <w:spacing w:after="80" w:line="260"/>
            </w:pPr>
            <w:r>
              <w:rPr>
                <w:rFonts w:ascii="Arial" w:cs="Arial" w:eastAsia="Arial" w:hAnsi="Arial"/>
                <w:color w:val="333333"/>
                <w:sz w:val="20"/>
                <w:szCs w:val="20"/>
              </w:rPr>
              <w:t xml:space="preserve">The learned_weights database table maintains a complete history of all weight sets for audit purposes.</w:t>
            </w:r>
          </w:p>
        </w:tc>
      </w:tr>
    </w:tbl>
    <w:p>
      <w:r>
        <w:br w:type="page"/>
      </w:r>
    </w:p>
    <w:p>
      <w:pPr>
        <w:pStyle w:val="Heading1"/>
        <w:spacing w:before="360" w:after="200"/>
      </w:pPr>
      <w:r>
        <w:rPr>
          <w:rFonts w:ascii="Arial" w:cs="Arial" w:eastAsia="Arial" w:hAnsi="Arial"/>
          <w:b/>
          <w:bCs/>
          <w:color w:val="1F4D78"/>
          <w:sz w:val="36"/>
          <w:szCs w:val="36"/>
        </w:rPr>
        <w:t xml:space="preserve">Chapter 30: Swing Trading Integration</w:t>
      </w:r>
    </w:p>
    <w:p>
      <w:pPr>
        <w:spacing w:after="200" w:line="276"/>
      </w:pPr>
      <w:r>
        <w:rPr>
          <w:rFonts w:ascii="Arial" w:cs="Arial" w:eastAsia="Arial" w:hAnsi="Arial"/>
          <w:color w:val="333333"/>
          <w:sz w:val="22"/>
          <w:szCs w:val="22"/>
        </w:rPr>
        <w:t xml:space="preserve">The CANSLIM Monitor system is designed primarily for position trading: identifying institutional-quality breakout setups, holding for 20 to 60 days, and targeting gains of 20 percent or more. This is the classic CAN SLIM approach that has produced the methodology’s best historical results. But the system also supports a complementary swing trading strategy for shorter-term opportunities.</w:t>
      </w:r>
    </w:p>
    <w:p>
      <w:pPr>
        <w:spacing w:after="200" w:line="276"/>
      </w:pPr>
      <w:r>
        <w:rPr>
          <w:rFonts w:ascii="Arial" w:cs="Arial" w:eastAsia="Arial" w:hAnsi="Arial"/>
          <w:color w:val="333333"/>
          <w:sz w:val="22"/>
          <w:szCs w:val="22"/>
        </w:rPr>
        <w:t xml:space="preserve">Swing trading within this system means holding positions for approximately five to seven days, targeting gains of two to four percent, and using simplified entry criteria compared to full CANSLIM analysis. The two strategies are not competing—they are complementary. Position trades capture the big moves that produce the majority of annual returns. Swing trades generate consistent smaller gains during periods when position trade setups are scarce or when the market environment favors shorter holding periods.</w:t>
      </w:r>
    </w:p>
    <w:p>
      <w:pPr>
        <w:spacing w:after="200" w:line="276"/>
      </w:pPr>
      <w:r>
        <w:rPr>
          <w:rFonts w:ascii="Arial" w:cs="Arial" w:eastAsia="Arial" w:hAnsi="Arial"/>
          <w:color w:val="333333"/>
          <w:sz w:val="22"/>
          <w:szCs w:val="22"/>
        </w:rPr>
        <w:t xml:space="preserve">This chapter explains how the swing trading module works, how it differs from position trading, and how the two strategies interact within the system.</w:t>
      </w:r>
    </w:p>
    <w:p>
      <w:pPr>
        <w:pStyle w:val="Heading2"/>
        <w:spacing w:before="280" w:after="160"/>
      </w:pPr>
      <w:r>
        <w:rPr>
          <w:rFonts w:ascii="Arial" w:cs="Arial" w:eastAsia="Arial" w:hAnsi="Arial"/>
          <w:b/>
          <w:bCs/>
          <w:color w:val="2E74B5"/>
          <w:sz w:val="28"/>
          <w:szCs w:val="28"/>
        </w:rPr>
        <w:t xml:space="preserve">30.1 Position Trading vs. Swing Trading</w:t>
      </w:r>
    </w:p>
    <w:p>
      <w:pPr>
        <w:spacing w:after="200" w:line="276"/>
      </w:pPr>
      <w:r>
        <w:rPr>
          <w:rFonts w:ascii="Arial" w:cs="Arial" w:eastAsia="Arial" w:hAnsi="Arial"/>
          <w:color w:val="333333"/>
          <w:sz w:val="22"/>
          <w:szCs w:val="22"/>
        </w:rPr>
        <w:t xml:space="preserve">The fundamental difference between position trading and swing trading is the holding period, and everything else flows from that difference. A position trade targets a major price advance of twenty percent or more, which requires holding through the normal volatility of a multi-week uptrend. A swing trade targets a smaller advance of two to four percent, which can typically be captured in under a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Characteristic</w:t>
            </w:r>
          </w:p>
        </w:tc>
        <w:tc>
          <w:tcPr>
            <w:tcW w:type="dxa" w:w="343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Position Trade (CANSLIM)</w:t>
            </w:r>
          </w:p>
        </w:tc>
        <w:tc>
          <w:tcPr>
            <w:tcW w:type="dxa" w:w="343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Swing Trade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Holding Period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20–60 days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5–7 days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Profit Target</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20–25%+ (with 8-week hold rule)</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2–4% (take half at 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Stop Loss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7–8% from entry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2–3% from entry (ATR-based)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Screening Rigor</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Full CANSLIM (RS, fundamentals, base)</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Technical-only (RSI, BB, MAs, volume)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Entry Criteria</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Pivot breakout or alternative entries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Pullback to support in uptrend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Market Regime</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Confirmed Uptrend preferred</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Market above 50-day MA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Position Sizing</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Pyramiding (50% → 30% → 20%)</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Full size at entry, no adds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Portfolio Risk</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1% of portfolio per trade</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1% of portfolio per trade</w:t>
            </w:r>
          </w:p>
        </w:tc>
      </w:tr>
    </w:tbl>
    <w:p>
      <w:pPr>
        <w:spacing w:before="80" w:after="0"/>
      </w:pPr>
    </w:p>
    <w:p>
      <w:pPr>
        <w:spacing w:after="200" w:line="276"/>
      </w:pPr>
      <w:r>
        <w:rPr>
          <w:rFonts w:ascii="Arial" w:cs="Arial" w:eastAsia="Arial" w:hAnsi="Arial"/>
          <w:color w:val="333333"/>
          <w:sz w:val="22"/>
          <w:szCs w:val="22"/>
        </w:rPr>
        <w:t xml:space="preserve">Both strategies use the same fundamental risk management principle: risk one percent of your portfolio on each trade. The difference is that the tighter stop on swing trades allows larger absolute positions. If you risk one percent of a one hundred thousand dollar portfolio (one thousand dollars) with a three percent stop, your position size is approximately thirty-three thousand dollars. With an eight percent stop on a position trade, the same risk gives you a position of about twelve thousand five hundred dollars.</w:t>
      </w:r>
    </w:p>
    <w:p>
      <w:pPr>
        <w:pStyle w:val="Heading2"/>
        <w:spacing w:before="280" w:after="160"/>
      </w:pPr>
      <w:r>
        <w:rPr>
          <w:rFonts w:ascii="Arial" w:cs="Arial" w:eastAsia="Arial" w:hAnsi="Arial"/>
          <w:b/>
          <w:bCs/>
          <w:color w:val="2E74B5"/>
          <w:sz w:val="28"/>
          <w:szCs w:val="28"/>
        </w:rPr>
        <w:t xml:space="preserve">30.2 Swing Trade Entry Criteria</w:t>
      </w:r>
    </w:p>
    <w:p>
      <w:pPr>
        <w:spacing w:after="200" w:line="276"/>
      </w:pPr>
      <w:r>
        <w:rPr>
          <w:rFonts w:ascii="Arial" w:cs="Arial" w:eastAsia="Arial" w:hAnsi="Arial"/>
          <w:color w:val="333333"/>
          <w:sz w:val="22"/>
          <w:szCs w:val="22"/>
        </w:rPr>
        <w:t xml:space="preserve">Swing trade entries use a simplified technical scoring system rather than full CANSLIM analysis. The screening focuses on momentum and mean-reversion indicators that are more relevant for short-term price movements. Each factor is scored, and the composite determines whether a setup qualifies.</w:t>
      </w:r>
    </w:p>
    <w:p>
      <w:pPr>
        <w:spacing w:after="200" w:line="276"/>
      </w:pPr>
      <w:r>
        <w:rPr>
          <w:rFonts w:ascii="Arial" w:cs="Arial" w:eastAsia="Arial" w:hAnsi="Arial"/>
          <w:color w:val="333333"/>
          <w:sz w:val="22"/>
          <w:szCs w:val="22"/>
        </w:rPr>
        <w:t xml:space="preserve">The primary entry conditions are as follows. The RSI (Relative Strength Index) should be between 50 and 70—this range indicates upward momentum without overbought conditions. The Bollinger Band position should be between 0.5 and 0.8, meaning the stock is in the upper half of its recent trading range but not yet at the upper band. Volume should show a dry-up pattern—the ratio of recent 10-day average volume to the 40-day average should be below 0.8, indicating a consolidation with declining selling pressure.</w:t>
      </w:r>
    </w:p>
    <w:p>
      <w:pPr>
        <w:spacing w:after="200" w:line="276"/>
      </w:pPr>
      <w:r>
        <w:rPr>
          <w:rFonts w:ascii="Arial" w:cs="Arial" w:eastAsia="Arial" w:hAnsi="Arial"/>
          <w:color w:val="333333"/>
          <w:sz w:val="22"/>
          <w:szCs w:val="22"/>
        </w:rPr>
        <w:t xml:space="preserve">The consolidation tightness ratio measures how narrow recent trading has been relative to the broader range. A ratio below 0.5 indicates the stock has compressed into a tight range, suggesting energy is building for a move. Finally, the stock must be trading above its 10-day, 21-day, and 50-day moving averages, confirming the underlying trend is up. When all conditions align, the swing setup scores above 60 (grade B or better) and qualifies for entry.</w:t>
      </w:r>
    </w:p>
    <w:p>
      <w:pPr>
        <w:spacing w:before="200" w:after="120"/>
      </w:pPr>
      <w:r>
        <w:rPr>
          <w:rFonts w:ascii="Arial" w:cs="Arial" w:eastAsia="Arial" w:hAnsi="Arial"/>
          <w:b/>
          <w:bCs/>
          <w:color w:val="2E74B5"/>
          <w:sz w:val="24"/>
          <w:szCs w:val="24"/>
        </w:rPr>
        <w:t xml:space="preserve">The Market Filter</w:t>
      </w:r>
    </w:p>
    <w:p>
      <w:pPr>
        <w:spacing w:after="200" w:line="276"/>
      </w:pPr>
      <w:r>
        <w:rPr>
          <w:rFonts w:ascii="Arial" w:cs="Arial" w:eastAsia="Arial" w:hAnsi="Arial"/>
          <w:color w:val="333333"/>
          <w:sz w:val="22"/>
          <w:szCs w:val="22"/>
        </w:rPr>
        <w:t xml:space="preserve">Swing trades also require a market filter: the S&amp;P 500 should be trading above its 50-day moving average. This is a looser requirement than the CANSLIM position trading standard of a confirmed uptrend, reflecting the shorter holding period. Even in an uptrend under pressure, swing trades can work because you are not asking the stock to advance for weeks—you just need a few days of favorable movement.</w:t>
      </w:r>
    </w:p>
    <w:p>
      <w:pPr>
        <w:spacing w:after="200" w:line="276"/>
      </w:pPr>
      <w:r>
        <w:rPr>
          <w:rFonts w:ascii="Arial" w:cs="Arial" w:eastAsia="Arial" w:hAnsi="Arial"/>
          <w:color w:val="333333"/>
          <w:sz w:val="22"/>
          <w:szCs w:val="22"/>
        </w:rPr>
        <w:t xml:space="preserve">Additionally, swing trades should be avoided within five trading days of a stock’s expected earnings report. Earnings events create unpredictable gap risk that cannot be managed with a stop loss, and the potential downside from an earnings miss far exceeds the two to four percent target of the swing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none" w:sz="0"/>
              <w:right w:val="single" w:color="2E74B5" w:sz="6"/>
            </w:tcBorders>
            <w:shd w:fill="E8F4FD" w:val="clear"/>
            <w:tcMar>
              <w:top w:type="dxa" w:w="100"/>
              <w:left w:type="dxa" w:w="160"/>
              <w:bottom w:type="dxa" w:w="100"/>
              <w:right w:type="dxa" w:w="160"/>
            </w:tcMar>
          </w:tcPr>
          <w:p>
            <w:pPr>
              <w:spacing w:after="40"/>
            </w:pPr>
            <w:r>
              <w:rPr>
                <w:rFonts w:ascii="Arial" w:cs="Arial" w:eastAsia="Arial" w:hAnsi="Arial"/>
                <w:b/>
                <w:bCs/>
                <w:color w:val="2E74B5"/>
                <w:sz w:val="22"/>
                <w:szCs w:val="22"/>
              </w:rPr>
              <w:t xml:space="preserve">💻 How the System Helps</w:t>
            </w:r>
          </w:p>
        </w:tc>
      </w:tr>
      <w:tr>
        <w:tc>
          <w:tcPr>
            <w:tcW w:type="dxa" w:w="9360"/>
            <w:tcBorders>
              <w:top w:val="none" w:sz="0"/>
              <w:left w:val="single" w:color="2E74B5" w:sz="6"/>
              <w:bottom w:val="single" w:color="2E74B5" w:sz="6"/>
              <w:right w:val="single" w:color="2E74B5" w:sz="6"/>
            </w:tcBorders>
            <w:shd w:fill="E8F4FD" w:val="clear"/>
            <w:tcMar>
              <w:top w:type="dxa" w:w="100"/>
              <w:left w:type="dxa" w:w="160"/>
              <w:bottom w:type="dxa" w:w="100"/>
              <w:right w:type="dxa" w:w="160"/>
            </w:tcMar>
          </w:tcPr>
          <w:p>
            <w:pPr>
              <w:spacing w:after="80" w:line="260"/>
            </w:pPr>
            <w:r>
              <w:rPr>
                <w:rFonts w:ascii="Arial" w:cs="Arial" w:eastAsia="Arial" w:hAnsi="Arial"/>
                <w:color w:val="333333"/>
                <w:sz w:val="20"/>
                <w:szCs w:val="20"/>
              </w:rPr>
              <w:t xml:space="preserve">The swing trading module evaluates all watchlist stocks against the swing criteria in parallel with CANSLIM scoring.</w:t>
            </w:r>
          </w:p>
          <w:p>
            <w:pPr>
              <w:spacing w:after="80" w:line="260"/>
            </w:pPr>
            <w:r>
              <w:rPr>
                <w:rFonts w:ascii="Arial" w:cs="Arial" w:eastAsia="Arial" w:hAnsi="Arial"/>
                <w:color w:val="333333"/>
                <w:sz w:val="20"/>
                <w:szCs w:val="20"/>
              </w:rPr>
              <w:t xml:space="preserve">Qualified swing setups receive a separate swing grade (A/B/C/D) independent of the CANSLIM grade.</w:t>
            </w:r>
          </w:p>
          <w:p>
            <w:pPr>
              <w:spacing w:after="80" w:line="260"/>
            </w:pPr>
            <w:r>
              <w:rPr>
                <w:rFonts w:ascii="Arial" w:cs="Arial" w:eastAsia="Arial" w:hAnsi="Arial"/>
                <w:color w:val="333333"/>
                <w:sz w:val="20"/>
                <w:szCs w:val="20"/>
              </w:rPr>
              <w:t xml:space="preserve">Discord alerts for swing setups use a distinct color to differentiate them from position trade alerts.</w:t>
            </w:r>
          </w:p>
          <w:p>
            <w:pPr>
              <w:spacing w:after="80" w:line="260"/>
            </w:pPr>
            <w:r>
              <w:rPr>
                <w:rFonts w:ascii="Arial" w:cs="Arial" w:eastAsia="Arial" w:hAnsi="Arial"/>
                <w:color w:val="333333"/>
                <w:sz w:val="20"/>
                <w:szCs w:val="20"/>
              </w:rPr>
              <w:t xml:space="preserve">The system automatically checks the earnings calendar to suppress swing alerts near earnings dates.</w:t>
            </w:r>
          </w:p>
        </w:tc>
      </w:tr>
    </w:tbl>
    <w:p>
      <w:pPr>
        <w:pStyle w:val="Heading2"/>
        <w:spacing w:before="280" w:after="160"/>
      </w:pPr>
      <w:r>
        <w:rPr>
          <w:rFonts w:ascii="Arial" w:cs="Arial" w:eastAsia="Arial" w:hAnsi="Arial"/>
          <w:b/>
          <w:bCs/>
          <w:color w:val="2E74B5"/>
          <w:sz w:val="28"/>
          <w:szCs w:val="28"/>
        </w:rPr>
        <w:t xml:space="preserve">30.3 Swing Trade Exit Rules</w:t>
      </w:r>
    </w:p>
    <w:p>
      <w:pPr>
        <w:spacing w:after="200" w:line="276"/>
      </w:pPr>
      <w:r>
        <w:rPr>
          <w:rFonts w:ascii="Arial" w:cs="Arial" w:eastAsia="Arial" w:hAnsi="Arial"/>
          <w:color w:val="333333"/>
          <w:sz w:val="22"/>
          <w:szCs w:val="22"/>
        </w:rPr>
        <w:t xml:space="preserve">Exit discipline is even more critical for swing trades than for position trades. The smaller profit targets mean that letting a winner turn into a loser is especially costly—you would need two or three winning trades just to offset one losing trade at full stop. IBD’s SwingTrader philosophy is clear: exit quickly at the first sign of weakness and never let a winner turn into a loser.</w:t>
      </w:r>
    </w:p>
    <w:p>
      <w:pPr>
        <w:spacing w:after="200" w:line="276"/>
      </w:pPr>
      <w:r>
        <w:rPr>
          <w:rFonts w:ascii="Arial" w:cs="Arial" w:eastAsia="Arial" w:hAnsi="Arial"/>
          <w:color w:val="333333"/>
          <w:sz w:val="22"/>
          <w:szCs w:val="22"/>
        </w:rPr>
        <w:t xml:space="preserve">The primary exit rules are structured in layers. The initial profit target is two to three percent from the entry price. When this target is hit, you sell half the position and raise your stop on the remaining shares to breakeven. This locks in a guaranteed profit and turns the remaining position into a free trade—it can only go higher or stop out at flat.</w:t>
      </w:r>
    </w:p>
    <w:p>
      <w:pPr>
        <w:spacing w:after="200" w:line="276"/>
      </w:pPr>
      <w:r>
        <w:rPr>
          <w:rFonts w:ascii="Arial" w:cs="Arial" w:eastAsia="Arial" w:hAnsi="Arial"/>
          <w:color w:val="333333"/>
          <w:sz w:val="22"/>
          <w:szCs w:val="22"/>
        </w:rPr>
        <w:t xml:space="preserve">If the stock continues to advance, a secondary target of four percent triggers selling the remaining shares. Alternatively, you can trail the stop below the prior day’s low once the position has gained more than two percent. This trailing stop approach occasionally catches larger moves—historically, some swing trades have captured moves of eight to twelve percent when they coincided with strong institutional buying.</w:t>
      </w:r>
    </w:p>
    <w:p>
      <w:pPr>
        <w:spacing w:after="200" w:line="276"/>
      </w:pPr>
      <w:r>
        <w:rPr>
          <w:rFonts w:ascii="Arial" w:cs="Arial" w:eastAsia="Arial" w:hAnsi="Arial"/>
          <w:color w:val="333333"/>
          <w:sz w:val="22"/>
          <w:szCs w:val="22"/>
        </w:rPr>
        <w:t xml:space="preserve">The maximum holding period is seven to ten days. If the stock has not hit the initial profit target within this window, close the position regardless of gain or loss. Time decay is a real cost in swing trading—capital tied up in a stagnant position cannot be deployed to the next opportunity.</w:t>
      </w:r>
    </w:p>
    <w:p>
      <w:pPr>
        <w:spacing w:before="200" w:after="120"/>
      </w:pPr>
      <w:r>
        <w:rPr>
          <w:rFonts w:ascii="Arial" w:cs="Arial" w:eastAsia="Arial" w:hAnsi="Arial"/>
          <w:b/>
          <w:bCs/>
          <w:color w:val="2E74B5"/>
          <w:sz w:val="24"/>
          <w:szCs w:val="24"/>
        </w:rPr>
        <w:t xml:space="preserve">Weakness Exits</w:t>
      </w:r>
    </w:p>
    <w:p>
      <w:pPr>
        <w:spacing w:after="200" w:line="276"/>
      </w:pPr>
      <w:r>
        <w:rPr>
          <w:rFonts w:ascii="Arial" w:cs="Arial" w:eastAsia="Arial" w:hAnsi="Arial"/>
          <w:color w:val="333333"/>
          <w:sz w:val="22"/>
          <w:szCs w:val="22"/>
        </w:rPr>
        <w:t xml:space="preserve">Beyond the primary rules, several weakness signals warrant immediate attention. If the stock closes below its 10-day moving average after you have entered, consider closing or reducing the position—this level represents very short-term momentum, and a violation suggests the upward impulse may be exhausted. Similarly, if the first red day (a day that closes lower than it opened) occurs after the stock has gained more than two percent from entry, consider taking partial or full profits to protect the gain.</w:t>
      </w:r>
    </w:p>
    <w:p>
      <w:pPr>
        <w:pStyle w:val="Heading2"/>
        <w:spacing w:before="280" w:after="160"/>
      </w:pPr>
      <w:r>
        <w:rPr>
          <w:rFonts w:ascii="Arial" w:cs="Arial" w:eastAsia="Arial" w:hAnsi="Arial"/>
          <w:b/>
          <w:bCs/>
          <w:color w:val="2E74B5"/>
          <w:sz w:val="28"/>
          <w:szCs w:val="28"/>
        </w:rPr>
        <w:t xml:space="preserve">30.4 Running Both Strategies in Parallel</w:t>
      </w:r>
    </w:p>
    <w:p>
      <w:pPr>
        <w:spacing w:after="200" w:line="276"/>
      </w:pPr>
      <w:r>
        <w:rPr>
          <w:rFonts w:ascii="Arial" w:cs="Arial" w:eastAsia="Arial" w:hAnsi="Arial"/>
          <w:color w:val="333333"/>
          <w:sz w:val="22"/>
          <w:szCs w:val="22"/>
        </w:rPr>
        <w:t xml:space="preserve">The CANSLIM Monitor supports running position trades and swing trades simultaneously with separate portfolio allocations. A common approach is to allocate 70 to 80 percent of your portfolio to position trades and 20 to 30 percent to swing trades. The exact split depends on market conditions—during strong confirmed uptrends, position trades deserve the larger allocation because they capture bigger moves. During choppy or transitional markets, swing trades may deserve a larger share because their shorter holding periods reduce exposure to sudden reversals.</w:t>
      </w:r>
    </w:p>
    <w:p>
      <w:pPr>
        <w:spacing w:after="200" w:line="276"/>
      </w:pPr>
      <w:r>
        <w:rPr>
          <w:rFonts w:ascii="Arial" w:cs="Arial" w:eastAsia="Arial" w:hAnsi="Arial"/>
          <w:color w:val="333333"/>
          <w:sz w:val="22"/>
          <w:szCs w:val="22"/>
        </w:rPr>
        <w:t xml:space="preserve">Each swing trade outcome feeds into the same learning engine as position trades. The outcome classification uses adjusted thresholds—a swing trade SUCCESS might be defined as gaining three percent or more, while PARTIAL is zero to three percent. This allows the learning engine to optimize the swing scoring weights independently from the position trading weights.</w:t>
      </w:r>
    </w:p>
    <w:p>
      <w:pPr>
        <w:spacing w:after="200" w:line="276"/>
      </w:pPr>
      <w:r>
        <w:rPr>
          <w:rFonts w:ascii="Arial" w:cs="Arial" w:eastAsia="Arial" w:hAnsi="Arial"/>
          <w:color w:val="333333"/>
          <w:sz w:val="22"/>
          <w:szCs w:val="22"/>
        </w:rPr>
        <w:t xml:space="preserve">The key to running both strategies successfully is maintaining strict separation in your mind. A position trade should never be mentally converted into a swing trade (or vice versa) after entry. If you buy a stock for a position trade and it stalls after gaining three percent, you do not sell it at the swing target—you manage it according to your position trading rules. Similarly, if a swing trade starts to show the characteristics of a major winner, you close the swing position and open a new position trade with proper CANSLIM analysis and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none" w:sz="0"/>
              <w:right w:val="single" w:color="2E74B5" w:sz="6"/>
            </w:tcBorders>
            <w:shd w:fill="E8F4FD" w:val="clear"/>
            <w:tcMar>
              <w:top w:type="dxa" w:w="100"/>
              <w:left w:type="dxa" w:w="160"/>
              <w:bottom w:type="dxa" w:w="100"/>
              <w:right w:type="dxa" w:w="160"/>
            </w:tcMar>
          </w:tcPr>
          <w:p>
            <w:pPr>
              <w:spacing w:after="40"/>
            </w:pPr>
            <w:r>
              <w:rPr>
                <w:rFonts w:ascii="Arial" w:cs="Arial" w:eastAsia="Arial" w:hAnsi="Arial"/>
                <w:b/>
                <w:bCs/>
                <w:color w:val="2E74B5"/>
                <w:sz w:val="22"/>
                <w:szCs w:val="22"/>
              </w:rPr>
              <w:t xml:space="preserve">💻 How the System Helps</w:t>
            </w:r>
          </w:p>
        </w:tc>
      </w:tr>
      <w:tr>
        <w:tc>
          <w:tcPr>
            <w:tcW w:type="dxa" w:w="9360"/>
            <w:tcBorders>
              <w:top w:val="none" w:sz="0"/>
              <w:left w:val="single" w:color="2E74B5" w:sz="6"/>
              <w:bottom w:val="single" w:color="2E74B5" w:sz="6"/>
              <w:right w:val="single" w:color="2E74B5" w:sz="6"/>
            </w:tcBorders>
            <w:shd w:fill="E8F4FD" w:val="clear"/>
            <w:tcMar>
              <w:top w:type="dxa" w:w="100"/>
              <w:left w:type="dxa" w:w="160"/>
              <w:bottom w:type="dxa" w:w="100"/>
              <w:right w:type="dxa" w:w="160"/>
            </w:tcMar>
          </w:tcPr>
          <w:p>
            <w:pPr>
              <w:spacing w:after="80" w:line="260"/>
            </w:pPr>
            <w:r>
              <w:rPr>
                <w:rFonts w:ascii="Arial" w:cs="Arial" w:eastAsia="Arial" w:hAnsi="Arial"/>
                <w:color w:val="333333"/>
                <w:sz w:val="20"/>
                <w:szCs w:val="20"/>
              </w:rPr>
              <w:t xml:space="preserve">The system tracks position trades and swing trades as separate portfolio categories with independent exposure limits.</w:t>
            </w:r>
          </w:p>
          <w:p>
            <w:pPr>
              <w:spacing w:after="80" w:line="260"/>
            </w:pPr>
            <w:r>
              <w:rPr>
                <w:rFonts w:ascii="Arial" w:cs="Arial" w:eastAsia="Arial" w:hAnsi="Arial"/>
                <w:color w:val="333333"/>
                <w:sz w:val="20"/>
                <w:szCs w:val="20"/>
              </w:rPr>
              <w:t xml:space="preserve">Each trade is tagged with its strategy type (POSITION or SWING) from entry, and exit rules are applied accordingly.</w:t>
            </w:r>
          </w:p>
          <w:p>
            <w:pPr>
              <w:spacing w:after="80" w:line="260"/>
            </w:pPr>
            <w:r>
              <w:rPr>
                <w:rFonts w:ascii="Arial" w:cs="Arial" w:eastAsia="Arial" w:hAnsi="Arial"/>
                <w:color w:val="333333"/>
                <w:sz w:val="20"/>
                <w:szCs w:val="20"/>
              </w:rPr>
              <w:t xml:space="preserve">The GUI Kanban board can filter by strategy type to show only position trades or only swing trades.</w:t>
            </w:r>
          </w:p>
          <w:p>
            <w:pPr>
              <w:spacing w:after="80" w:line="260"/>
            </w:pPr>
            <w:r>
              <w:rPr>
                <w:rFonts w:ascii="Arial" w:cs="Arial" w:eastAsia="Arial" w:hAnsi="Arial"/>
                <w:color w:val="333333"/>
                <w:sz w:val="20"/>
                <w:szCs w:val="20"/>
              </w:rPr>
              <w:t xml:space="preserve">Learning engine analysis can be run separately for each strategy type to optimize their respective scoring weights.</w:t>
            </w:r>
          </w:p>
          <w:p>
            <w:pPr>
              <w:spacing w:after="80" w:line="260"/>
            </w:pPr>
            <w:r>
              <w:rPr>
                <w:rFonts w:ascii="Arial" w:cs="Arial" w:eastAsia="Arial" w:hAnsi="Arial"/>
                <w:color w:val="333333"/>
                <w:sz w:val="20"/>
                <w:szCs w:val="20"/>
              </w:rPr>
              <w:t xml:space="preserve">Discord alerts clearly distinguish between position trade and swing trade opportunities using different embed colors.</w:t>
            </w:r>
          </w:p>
        </w:tc>
      </w:tr>
    </w:tbl>
    <w:p>
      <w:pPr>
        <w:spacing w:before="200" w:after="0"/>
      </w:pPr>
    </w:p>
    <w:p>
      <w:pPr>
        <w:pStyle w:val="Heading2"/>
        <w:spacing w:before="280" w:after="160"/>
      </w:pPr>
      <w:r>
        <w:rPr>
          <w:rFonts w:ascii="Arial" w:cs="Arial" w:eastAsia="Arial" w:hAnsi="Arial"/>
          <w:b/>
          <w:bCs/>
          <w:color w:val="2E74B5"/>
          <w:sz w:val="28"/>
          <w:szCs w:val="28"/>
        </w:rPr>
        <w:t xml:space="preserve">Part VI Summary</w:t>
      </w:r>
    </w:p>
    <w:p>
      <w:pPr>
        <w:spacing w:after="200" w:line="276"/>
      </w:pPr>
      <w:r>
        <w:rPr>
          <w:rFonts w:ascii="Arial" w:cs="Arial" w:eastAsia="Arial" w:hAnsi="Arial"/>
          <w:color w:val="333333"/>
          <w:sz w:val="22"/>
          <w:szCs w:val="22"/>
        </w:rPr>
        <w:t xml:space="preserve">Part VI has extended your toolkit beyond the standard CANSLIM pivot breakout in three important directions. Alternative entry strategies—moving average pullbacks, three weeks tight patterns, shakeout plus 3 entries, confluence zones, and pivot retests—give you additional ways to enter leading stocks at favorable prices. The learning engine provides a data-driven feedback loop that analyzes your actual trading outcomes and proposes scoring improvements through a rigorous human-in-the-loop process. And swing trading integration adds a complementary short-term strategy that keeps capital productive during periods when position trade setups are scarce.</w:t>
      </w:r>
    </w:p>
    <w:p>
      <w:pPr>
        <w:spacing w:after="200" w:line="276"/>
      </w:pPr>
      <w:r>
        <w:rPr>
          <w:rFonts w:ascii="Arial" w:cs="Arial" w:eastAsia="Arial" w:hAnsi="Arial"/>
          <w:color w:val="333333"/>
          <w:sz w:val="22"/>
          <w:szCs w:val="22"/>
        </w:rPr>
        <w:t xml:space="preserve">Each of these advanced topics builds on the foundation established in Parts I through V. Alternative entries still require the same underlying stock quality—strong fundamentals, proper base formation, and favorable market conditions. The learning engine preserves the immutable rules of the CANSLIM methodology while optimizing the configurable weights. And swing trading uses the same risk management framework of risking one percent per trade, just applied to a shorter time horizon.</w:t>
      </w:r>
    </w:p>
    <w:p>
      <w:pPr>
        <w:spacing w:after="200" w:line="276"/>
      </w:pPr>
      <w:r>
        <w:rPr>
          <w:rFonts w:ascii="Arial" w:cs="Arial" w:eastAsia="Arial" w:hAnsi="Arial"/>
          <w:color w:val="333333"/>
          <w:sz w:val="22"/>
          <w:szCs w:val="22"/>
        </w:rPr>
        <w:t xml:space="preserve">In Part VII, we will cover system configuration and customization: tuning YAML settings, adjusting alert preferences, and configuring external integrations. In Part VIII, you will find comprehensive reference appendices including the complete scoring rubric, alert catalog, state machine diagram, and glossary of terms.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CANSLIM Trading System — User Guide: Part 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D78"/>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2026-02-14T00:49:22.637Z</dcterms:created>
  <dcterms:modified xsi:type="dcterms:W3CDTF">2026-02-14T00:49:22.638Z</dcterms:modified>
</cp:coreProperties>
</file>

<file path=docProps/custom.xml><?xml version="1.0" encoding="utf-8"?>
<Properties xmlns="http://schemas.openxmlformats.org/officeDocument/2006/custom-properties" xmlns:vt="http://schemas.openxmlformats.org/officeDocument/2006/docPropsVTypes"/>
</file>