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i w:val="false"/>
          <w:iCs w:val="false"/>
          <w:color w:val="1a9641"/>
          <w:sz w:val="20"/>
          <w:szCs w:val="20"/>
        </w:rPr>
        <w:t xml:space="preserve">Methods note — Paper 1</w:t>
      </w:r>
    </w:p>
    <w:p>
      <w:pPr>
        <w:spacing w:after="60"/>
      </w:pPr>
      <w:r>
        <w:rPr>
          <w:rFonts w:ascii="Calibri" w:cs="Calibri" w:eastAsia="Calibri" w:hAnsi="Calibri"/>
          <w:b/>
          <w:bCs/>
          <w:i w:val="false"/>
          <w:iCs w:val="false"/>
          <w:color w:val="1c3a5e"/>
          <w:sz w:val="30"/>
          <w:szCs w:val="30"/>
        </w:rPr>
        <w:t xml:space="preserve">Decent-living energy (DLE) gap and deprivation headcount: method, justification, limitations, and next steps</w:t>
      </w:r>
    </w:p>
    <w:p>
      <w:pPr>
        <w:spacing w:after="180"/>
      </w:pPr>
      <w:r>
        <w:rPr>
          <w:rFonts w:ascii="Calibri" w:cs="Calibri" w:eastAsia="Calibri" w:hAnsi="Calibri"/>
          <w:b w:val="false"/>
          <w:bCs w:val="false"/>
          <w:i/>
          <w:iCs/>
          <w:color w:val="60707F"/>
          <w:sz w:val="20"/>
          <w:szCs w:val="20"/>
        </w:rPr>
        <w:t xml:space="preserve">Prepared for the COMPASS High-RE vs High-CDR wellbeing analysis. Text below is drafted for direct adaptation into the paper's Methods and Limitations sections.</w:t>
      </w:r>
    </w:p>
    <w:p>
      <w:pPr>
        <w:pStyle w:val="Heading1"/>
        <w:spacing w:after="120" w:before="240"/>
      </w:pPr>
      <w:r>
        <w:rPr>
          <w:rFonts w:ascii="Calibri" w:cs="Calibri" w:eastAsia="Calibri" w:hAnsi="Calibri"/>
          <w:b/>
          <w:bCs/>
          <w:color w:val="1c3a5e"/>
          <w:sz w:val="28"/>
          <w:szCs w:val="28"/>
        </w:rPr>
        <w:t xml:space="preserve">1.  Metric definition (Methods draft)</w:t>
      </w:r>
    </w:p>
    <w:p>
      <w:pPr>
        <w:spacing w:after="140" w:line="276"/>
        <w:jc w:val="both"/>
      </w:pPr>
      <w:r>
        <w:rPr>
          <w:rFonts w:ascii="Calibri" w:cs="Calibri" w:eastAsia="Calibri" w:hAnsi="Calibri"/>
          <w:b w:val="false"/>
          <w:bCs w:val="false"/>
          <w:i w:val="false"/>
          <w:iCs w:val="false"/>
          <w:sz w:val="22"/>
          <w:szCs w:val="22"/>
        </w:rPr>
        <w:t xml:space="preserve">Energy poverty is assessed with two indicators grounded in the decent-living energy (DLE) framework (Rao and Min 2018; Kikstra et al. 2021). Regional final-energy thresholds for decent living are taken from the DESIRE framework (Kikstra et al. 2025): a needs-based floor in which transport is the largest component, mapped to the model's residential/commercial, transport, and industry sectors and to the five R10 world regions used here (Table 1). Thresholds decline over time with an assumed service-provisioning-efficiency improvement of approximately 1.9% yr</w:t>
      </w:r>
      <w:r>
        <w:rPr>
          <w:rFonts w:ascii="Calibri" w:cs="Calibri" w:eastAsia="Calibri" w:hAnsi="Calibri"/>
          <w:b w:val="false"/>
          <w:bCs w:val="false"/>
          <w:i w:val="false"/>
          <w:iCs w:val="false"/>
          <w:sz w:val="22"/>
          <w:szCs w:val="22"/>
        </w:rPr>
        <w:t xml:space="preserve">−</w:t>
      </w:r>
      <w:r>
        <w:rPr>
          <w:rFonts w:ascii="Calibri" w:cs="Calibri" w:eastAsia="Calibri" w:hAnsi="Calibri"/>
          <w:b w:val="false"/>
          <w:bCs w:val="false"/>
          <w:i w:val="false"/>
          <w:iCs w:val="false"/>
          <w:sz w:val="22"/>
          <w:szCs w:val="22"/>
        </w:rPr>
        <w:t xml:space="preserve">¹ (reaching about −38% by 2040, within the −30% to −46% range reported by DESIRE). Within each region and year we construct a lognormal distribution of per-capita final energy whose dispersion is set by a within-region energy Gini coefficient (Oswald et al. 2021).</w:t>
      </w:r>
    </w:p>
    <w:p>
      <w:pPr>
        <w:spacing w:after="140" w:line="276"/>
        <w:jc w:val="both"/>
      </w:pPr>
      <w:r>
        <w:rPr>
          <w:rFonts w:ascii="Calibri" w:cs="Calibri" w:eastAsia="Calibri" w:hAnsi="Calibri"/>
          <w:b w:val="false"/>
          <w:bCs w:val="false"/>
          <w:i w:val="false"/>
          <w:iCs w:val="false"/>
          <w:sz w:val="22"/>
          <w:szCs w:val="22"/>
        </w:rPr>
        <w:t xml:space="preserve">The </w:t>
      </w:r>
      <w:r>
        <w:rPr>
          <w:rFonts w:ascii="Calibri" w:cs="Calibri" w:eastAsia="Calibri" w:hAnsi="Calibri"/>
          <w:b/>
          <w:bCs/>
          <w:i w:val="false"/>
          <w:iCs w:val="false"/>
          <w:sz w:val="22"/>
          <w:szCs w:val="22"/>
        </w:rPr>
        <w:t xml:space="preserve">decent-living energy deprivation headcount</w:t>
      </w:r>
      <w:r>
        <w:rPr>
          <w:rFonts w:ascii="Calibri" w:cs="Calibri" w:eastAsia="Calibri" w:hAnsi="Calibri"/>
          <w:b w:val="false"/>
          <w:bCs w:val="false"/>
          <w:i w:val="false"/>
          <w:iCs w:val="false"/>
          <w:sz w:val="22"/>
          <w:szCs w:val="22"/>
        </w:rPr>
        <w:t xml:space="preserve"> is the share of that distribution below the threshold, multiplied by population. The </w:t>
      </w:r>
      <w:r>
        <w:rPr>
          <w:rFonts w:ascii="Calibri" w:cs="Calibri" w:eastAsia="Calibri" w:hAnsi="Calibri"/>
          <w:b/>
          <w:bCs/>
          <w:i w:val="false"/>
          <w:iCs w:val="false"/>
          <w:sz w:val="22"/>
          <w:szCs w:val="22"/>
        </w:rPr>
        <w:t xml:space="preserve">DLE gap (adapted from Kikstra et al. 2025)</w:t>
      </w:r>
      <w:r>
        <w:rPr>
          <w:rFonts w:ascii="Calibri" w:cs="Calibri" w:eastAsia="Calibri" w:hAnsi="Calibri"/>
          <w:b w:val="false"/>
          <w:bCs w:val="false"/>
          <w:i w:val="false"/>
          <w:iCs w:val="false"/>
          <w:sz w:val="22"/>
          <w:szCs w:val="22"/>
        </w:rPr>
        <w:t xml:space="preserve"> is the additional final energy required to lift everyone below the threshold up to it — the partial expectation of the shortfall over the below-threshold tail of the same distribution:</w:t>
      </w:r>
    </w:p>
    <w:p>
      <w:pPr>
        <w:spacing w:after="60" w:before="40" w:line="300"/>
        <w:jc w:val="center"/>
      </w:pPr>
      <w:r>
        <w:rPr>
          <w:rFonts w:ascii="Consolas" w:cs="Consolas" w:eastAsia="Consolas" w:hAnsi="Consolas"/>
          <w:sz w:val="20"/>
          <w:szCs w:val="20"/>
        </w:rPr>
        <w:t xml:space="preserve">gap_pc = T·Φ(d₁) − E·Φ(d₂),   d₁ = (ln T − m)/σ,   d₂ = d₁ − σ,   m = ln E − σ²/2</w:t>
      </w:r>
    </w:p>
    <w:p>
      <w:pPr>
        <w:spacing w:after="140" w:line="276"/>
        <w:jc w:val="both"/>
      </w:pPr>
      <w:r>
        <w:rPr>
          <w:rFonts w:ascii="Calibri" w:cs="Calibri" w:eastAsia="Calibri" w:hAnsi="Calibri"/>
          <w:b w:val="false"/>
          <w:bCs w:val="false"/>
          <w:i w:val="false"/>
          <w:iCs w:val="false"/>
          <w:sz w:val="22"/>
          <w:szCs w:val="22"/>
        </w:rPr>
        <w:t xml:space="preserve">where T is the regional DLE threshold, E the per-capita final energy, σ the log-standard-deviation implied by the energy Gini, and Φ the standard normal CDF. The headcount is the companion quantity Φ(d₁). Both indicators are cumulated over the ambition-specific window (to 2060 for 1.5 °C, to 2075 for 2 °C) and normalised per capita for the High-CDR vs High-RE comparison.</w:t>
      </w:r>
    </w:p>
    <w:p>
      <w:pPr>
        <w:pStyle w:val="Heading1"/>
        <w:spacing w:after="120" w:before="240"/>
      </w:pPr>
      <w:r>
        <w:rPr>
          <w:rFonts w:ascii="Calibri" w:cs="Calibri" w:eastAsia="Calibri" w:hAnsi="Calibri"/>
          <w:b/>
          <w:bCs/>
          <w:color w:val="1c3a5e"/>
          <w:sz w:val="28"/>
          <w:szCs w:val="28"/>
        </w:rPr>
        <w:t xml:space="preserve">2.  Regional DLE thresholds (Table 1)</w:t>
      </w:r>
    </w:p>
    <w:p>
      <w:pPr>
        <w:spacing w:after="140" w:line="276"/>
        <w:jc w:val="both"/>
      </w:pPr>
      <w:r>
        <w:rPr>
          <w:rFonts w:ascii="Calibri" w:cs="Calibri" w:eastAsia="Calibri" w:hAnsi="Calibri"/>
          <w:b w:val="false"/>
          <w:bCs w:val="false"/>
          <w:i w:val="false"/>
          <w:iCs w:val="false"/>
          <w:sz w:val="22"/>
          <w:szCs w:val="22"/>
        </w:rPr>
        <w:t xml:space="preserve">Final-energy decent-living thresholds (GJ capita</w:t>
      </w:r>
      <w:r>
        <w:rPr>
          <w:rFonts w:ascii="Calibri" w:cs="Calibri" w:eastAsia="Calibri" w:hAnsi="Calibri"/>
          <w:b w:val="false"/>
          <w:bCs w:val="false"/>
          <w:i w:val="false"/>
          <w:iCs w:val="false"/>
          <w:sz w:val="22"/>
          <w:szCs w:val="22"/>
        </w:rPr>
        <w:t xml:space="preserve">−</w:t>
      </w:r>
      <w:r>
        <w:rPr>
          <w:rFonts w:ascii="Calibri" w:cs="Calibri" w:eastAsia="Calibri" w:hAnsi="Calibri"/>
          <w:b w:val="false"/>
          <w:bCs w:val="false"/>
          <w:i w:val="false"/>
          <w:iCs w:val="false"/>
          <w:sz w:val="22"/>
          <w:szCs w:val="22"/>
        </w:rPr>
        <w:t xml:space="preserve">¹ yr</w:t>
      </w:r>
      <w:r>
        <w:rPr>
          <w:rFonts w:ascii="Calibri" w:cs="Calibri" w:eastAsia="Calibri" w:hAnsi="Calibri"/>
          <w:b w:val="false"/>
          <w:bCs w:val="false"/>
          <w:i w:val="false"/>
          <w:iCs w:val="false"/>
          <w:sz w:val="22"/>
          <w:szCs w:val="22"/>
        </w:rPr>
        <w:t xml:space="preserve">−</w:t>
      </w:r>
      <w:r>
        <w:rPr>
          <w:rFonts w:ascii="Calibri" w:cs="Calibri" w:eastAsia="Calibri" w:hAnsi="Calibri"/>
          <w:b w:val="false"/>
          <w:bCs w:val="false"/>
          <w:i w:val="false"/>
          <w:iCs w:val="false"/>
          <w:sz w:val="22"/>
          <w:szCs w:val="22"/>
        </w:rPr>
        <w:t xml:space="preserve">¹), mapped to the five R10 regions from DESIRE's published sectoral means and ranges (transport ~11.8 [10–18], residential/commercial ~6.7 [4–12], industry ~3.8 [3–7]; global mean ~22, country range 17–35). Every value sits inside DESIRE's published per-sector range; totals fall within its 17–35 span; transport is the largest component in every region.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1500"/>
        <w:gridCol w:w="1900"/>
      </w:tblGrid>
      <w:tr>
        <w:trPr>
          <w:tblHeader/>
        </w:trPr>
        <w:tc>
          <w:tcPr>
            <w:tcW w:type="dxa" w:w="2100"/>
            <w:shd w:fill="1C3A5E" w:val="clear"/>
          </w:tcPr>
          <w:p>
            <w:pPr>
              <w:spacing w:after="20" w:before="20"/>
              <w:jc w:val="left"/>
            </w:pPr>
            <w:r>
              <w:rPr>
                <w:rFonts w:ascii="Calibri" w:cs="Calibri" w:eastAsia="Calibri" w:hAnsi="Calibri"/>
                <w:b/>
                <w:bCs/>
                <w:color w:val="FFFFFF"/>
                <w:sz w:val="18"/>
                <w:szCs w:val="18"/>
              </w:rPr>
              <w:t xml:space="preserve">R10 region</w:t>
            </w:r>
          </w:p>
        </w:tc>
        <w:tc>
          <w:tcPr>
            <w:tcW w:type="dxa" w:w="1500"/>
            <w:shd w:fill="1C3A5E" w:val="clear"/>
          </w:tcPr>
          <w:p>
            <w:pPr>
              <w:spacing w:after="20" w:before="20"/>
              <w:jc w:val="center"/>
            </w:pPr>
            <w:r>
              <w:rPr>
                <w:rFonts w:ascii="Calibri" w:cs="Calibri" w:eastAsia="Calibri" w:hAnsi="Calibri"/>
                <w:b/>
                <w:bCs/>
                <w:color w:val="FFFFFF"/>
                <w:sz w:val="18"/>
                <w:szCs w:val="18"/>
              </w:rPr>
              <w:t xml:space="preserve">Res./comm.</w:t>
            </w:r>
          </w:p>
        </w:tc>
        <w:tc>
          <w:tcPr>
            <w:tcW w:type="dxa" w:w="1500"/>
            <w:shd w:fill="1C3A5E" w:val="clear"/>
          </w:tcPr>
          <w:p>
            <w:pPr>
              <w:spacing w:after="20" w:before="20"/>
              <w:jc w:val="center"/>
            </w:pPr>
            <w:r>
              <w:rPr>
                <w:rFonts w:ascii="Calibri" w:cs="Calibri" w:eastAsia="Calibri" w:hAnsi="Calibri"/>
                <w:b/>
                <w:bCs/>
                <w:color w:val="FFFFFF"/>
                <w:sz w:val="18"/>
                <w:szCs w:val="18"/>
              </w:rPr>
              <w:t xml:space="preserve">Transport</w:t>
            </w:r>
          </w:p>
        </w:tc>
        <w:tc>
          <w:tcPr>
            <w:tcW w:type="dxa" w:w="1500"/>
            <w:shd w:fill="1C3A5E" w:val="clear"/>
          </w:tcPr>
          <w:p>
            <w:pPr>
              <w:spacing w:after="20" w:before="20"/>
              <w:jc w:val="center"/>
            </w:pPr>
            <w:r>
              <w:rPr>
                <w:rFonts w:ascii="Calibri" w:cs="Calibri" w:eastAsia="Calibri" w:hAnsi="Calibri"/>
                <w:b/>
                <w:bCs/>
                <w:color w:val="FFFFFF"/>
                <w:sz w:val="18"/>
                <w:szCs w:val="18"/>
              </w:rPr>
              <w:t xml:space="preserve">Industry</w:t>
            </w:r>
          </w:p>
        </w:tc>
        <w:tc>
          <w:tcPr>
            <w:tcW w:type="dxa" w:w="1900"/>
            <w:shd w:fill="1C3A5E" w:val="clear"/>
          </w:tcPr>
          <w:p>
            <w:pPr>
              <w:spacing w:after="20" w:before="20"/>
              <w:jc w:val="center"/>
            </w:pPr>
            <w:r>
              <w:rPr>
                <w:rFonts w:ascii="Calibri" w:cs="Calibri" w:eastAsia="Calibri" w:hAnsi="Calibri"/>
                <w:b/>
                <w:bCs/>
                <w:color w:val="FFFFFF"/>
                <w:sz w:val="18"/>
                <w:szCs w:val="18"/>
              </w:rPr>
              <w:t xml:space="preserve">Total</w:t>
            </w:r>
          </w:p>
        </w:tc>
      </w:tr>
      <w:tr>
        <w:tc>
          <w:tcPr>
            <w:tcW w:type="dxa" w:w="2100"/>
            <w:shd w:fill="FFFFFF" w:val="clear"/>
          </w:tcPr>
          <w:p>
            <w:pPr>
              <w:spacing w:after="20" w:before="20"/>
              <w:jc w:val="left"/>
            </w:pPr>
            <w:r>
              <w:rPr>
                <w:rFonts w:ascii="Calibri" w:cs="Calibri" w:eastAsia="Calibri" w:hAnsi="Calibri"/>
                <w:b w:val="false"/>
                <w:bCs w:val="false"/>
                <w:color w:val="1F2A36"/>
                <w:sz w:val="18"/>
                <w:szCs w:val="18"/>
              </w:rPr>
              <w:t xml:space="preserve">India +</w:t>
            </w:r>
          </w:p>
        </w:tc>
        <w:tc>
          <w:tcPr>
            <w:tcW w:type="dxa" w:w="1500"/>
            <w:shd w:fill="FFFFFF" w:val="clear"/>
          </w:tcPr>
          <w:p>
            <w:pPr>
              <w:spacing w:after="20" w:before="20"/>
              <w:jc w:val="center"/>
            </w:pPr>
            <w:r>
              <w:rPr>
                <w:rFonts w:ascii="Consolas" w:cs="Consolas" w:eastAsia="Consolas" w:hAnsi="Consolas"/>
                <w:b w:val="false"/>
                <w:bCs w:val="false"/>
                <w:color w:val="1F2A36"/>
                <w:sz w:val="18"/>
                <w:szCs w:val="18"/>
              </w:rPr>
              <w:t xml:space="preserve">4.5</w:t>
            </w:r>
          </w:p>
        </w:tc>
        <w:tc>
          <w:tcPr>
            <w:tcW w:type="dxa" w:w="1500"/>
            <w:shd w:fill="FFFFFF" w:val="clear"/>
          </w:tcPr>
          <w:p>
            <w:pPr>
              <w:spacing w:after="20" w:before="20"/>
              <w:jc w:val="center"/>
            </w:pPr>
            <w:r>
              <w:rPr>
                <w:rFonts w:ascii="Consolas" w:cs="Consolas" w:eastAsia="Consolas" w:hAnsi="Consolas"/>
                <w:b w:val="false"/>
                <w:bCs w:val="false"/>
                <w:color w:val="1F2A36"/>
                <w:sz w:val="18"/>
                <w:szCs w:val="18"/>
              </w:rPr>
              <w:t xml:space="preserve">10.5</w:t>
            </w:r>
          </w:p>
        </w:tc>
        <w:tc>
          <w:tcPr>
            <w:tcW w:type="dxa" w:w="1500"/>
            <w:shd w:fill="FFFFFF" w:val="clear"/>
          </w:tcPr>
          <w:p>
            <w:pPr>
              <w:spacing w:after="20" w:before="20"/>
              <w:jc w:val="center"/>
            </w:pPr>
            <w:r>
              <w:rPr>
                <w:rFonts w:ascii="Calibri" w:cs="Calibri" w:eastAsia="Calibri" w:hAnsi="Calibri"/>
                <w:b w:val="false"/>
                <w:bCs w:val="false"/>
                <w:color w:val="1F2A36"/>
                <w:sz w:val="18"/>
                <w:szCs w:val="18"/>
              </w:rPr>
              <w:t xml:space="preserve">3.0</w:t>
            </w:r>
          </w:p>
        </w:tc>
        <w:tc>
          <w:tcPr>
            <w:tcW w:type="dxa" w:w="1900"/>
            <w:shd w:fill="FFFFFF" w:val="clear"/>
          </w:tcPr>
          <w:p>
            <w:pPr>
              <w:spacing w:after="20" w:before="20"/>
              <w:jc w:val="center"/>
            </w:pPr>
            <w:r>
              <w:rPr>
                <w:rFonts w:ascii="Calibri" w:cs="Calibri" w:eastAsia="Calibri" w:hAnsi="Calibri"/>
                <w:b w:val="false"/>
                <w:bCs w:val="false"/>
                <w:color w:val="1F2A36"/>
                <w:sz w:val="18"/>
                <w:szCs w:val="18"/>
              </w:rPr>
              <w:t xml:space="preserve">18.0</w:t>
            </w:r>
          </w:p>
        </w:tc>
      </w:tr>
      <w:tr>
        <w:tc>
          <w:tcPr>
            <w:tcW w:type="dxa" w:w="2100"/>
            <w:shd w:fill="F1F5F9" w:val="clear"/>
          </w:tcPr>
          <w:p>
            <w:pPr>
              <w:spacing w:after="20" w:before="20"/>
              <w:jc w:val="left"/>
            </w:pPr>
            <w:r>
              <w:rPr>
                <w:rFonts w:ascii="Calibri" w:cs="Calibri" w:eastAsia="Calibri" w:hAnsi="Calibri"/>
                <w:b w:val="false"/>
                <w:bCs w:val="false"/>
                <w:color w:val="1F2A36"/>
                <w:sz w:val="18"/>
                <w:szCs w:val="18"/>
              </w:rPr>
              <w:t xml:space="preserve">Africa</w:t>
            </w:r>
          </w:p>
        </w:tc>
        <w:tc>
          <w:tcPr>
            <w:tcW w:type="dxa" w:w="1500"/>
            <w:shd w:fill="F1F5F9" w:val="clear"/>
          </w:tcPr>
          <w:p>
            <w:pPr>
              <w:spacing w:after="20" w:before="20"/>
              <w:jc w:val="center"/>
            </w:pPr>
            <w:r>
              <w:rPr>
                <w:rFonts w:ascii="Consolas" w:cs="Consolas" w:eastAsia="Consolas" w:hAnsi="Consolas"/>
                <w:b w:val="false"/>
                <w:bCs w:val="false"/>
                <w:color w:val="1F2A36"/>
                <w:sz w:val="18"/>
                <w:szCs w:val="18"/>
              </w:rPr>
              <w:t xml:space="preserve">5.0</w:t>
            </w:r>
          </w:p>
        </w:tc>
        <w:tc>
          <w:tcPr>
            <w:tcW w:type="dxa" w:w="1500"/>
            <w:shd w:fill="F1F5F9" w:val="clear"/>
          </w:tcPr>
          <w:p>
            <w:pPr>
              <w:spacing w:after="20" w:before="20"/>
              <w:jc w:val="center"/>
            </w:pPr>
            <w:r>
              <w:rPr>
                <w:rFonts w:ascii="Consolas" w:cs="Consolas" w:eastAsia="Consolas" w:hAnsi="Consolas"/>
                <w:b w:val="false"/>
                <w:bCs w:val="false"/>
                <w:color w:val="1F2A36"/>
                <w:sz w:val="18"/>
                <w:szCs w:val="18"/>
              </w:rPr>
              <w:t xml:space="preserve">11.0</w:t>
            </w:r>
          </w:p>
        </w:tc>
        <w:tc>
          <w:tcPr>
            <w:tcW w:type="dxa" w:w="1500"/>
            <w:shd w:fill="F1F5F9" w:val="clear"/>
          </w:tcPr>
          <w:p>
            <w:pPr>
              <w:spacing w:after="20" w:before="20"/>
              <w:jc w:val="center"/>
            </w:pPr>
            <w:r>
              <w:rPr>
                <w:rFonts w:ascii="Calibri" w:cs="Calibri" w:eastAsia="Calibri" w:hAnsi="Calibri"/>
                <w:b w:val="false"/>
                <w:bCs w:val="false"/>
                <w:color w:val="1F2A36"/>
                <w:sz w:val="18"/>
                <w:szCs w:val="18"/>
              </w:rPr>
              <w:t xml:space="preserve">3.0</w:t>
            </w:r>
          </w:p>
        </w:tc>
        <w:tc>
          <w:tcPr>
            <w:tcW w:type="dxa" w:w="1900"/>
            <w:shd w:fill="F1F5F9" w:val="clear"/>
          </w:tcPr>
          <w:p>
            <w:pPr>
              <w:spacing w:after="20" w:before="20"/>
              <w:jc w:val="center"/>
            </w:pPr>
            <w:r>
              <w:rPr>
                <w:rFonts w:ascii="Calibri" w:cs="Calibri" w:eastAsia="Calibri" w:hAnsi="Calibri"/>
                <w:b w:val="false"/>
                <w:bCs w:val="false"/>
                <w:color w:val="1F2A36"/>
                <w:sz w:val="18"/>
                <w:szCs w:val="18"/>
              </w:rPr>
              <w:t xml:space="preserve">19.0</w:t>
            </w:r>
          </w:p>
        </w:tc>
      </w:tr>
      <w:tr>
        <w:tc>
          <w:tcPr>
            <w:tcW w:type="dxa" w:w="2100"/>
            <w:shd w:fill="FFFFFF" w:val="clear"/>
          </w:tcPr>
          <w:p>
            <w:pPr>
              <w:spacing w:after="20" w:before="20"/>
              <w:jc w:val="left"/>
            </w:pPr>
            <w:r>
              <w:rPr>
                <w:rFonts w:ascii="Calibri" w:cs="Calibri" w:eastAsia="Calibri" w:hAnsi="Calibri"/>
                <w:b w:val="false"/>
                <w:bCs w:val="false"/>
                <w:color w:val="1F2A36"/>
                <w:sz w:val="18"/>
                <w:szCs w:val="18"/>
              </w:rPr>
              <w:t xml:space="preserve">China +</w:t>
            </w:r>
          </w:p>
        </w:tc>
        <w:tc>
          <w:tcPr>
            <w:tcW w:type="dxa" w:w="1500"/>
            <w:shd w:fill="FFFFFF" w:val="clear"/>
          </w:tcPr>
          <w:p>
            <w:pPr>
              <w:spacing w:after="20" w:before="20"/>
              <w:jc w:val="center"/>
            </w:pPr>
            <w:r>
              <w:rPr>
                <w:rFonts w:ascii="Consolas" w:cs="Consolas" w:eastAsia="Consolas" w:hAnsi="Consolas"/>
                <w:b w:val="false"/>
                <w:bCs w:val="false"/>
                <w:color w:val="1F2A36"/>
                <w:sz w:val="18"/>
                <w:szCs w:val="18"/>
              </w:rPr>
              <w:t xml:space="preserve">6.5</w:t>
            </w:r>
          </w:p>
        </w:tc>
        <w:tc>
          <w:tcPr>
            <w:tcW w:type="dxa" w:w="1500"/>
            <w:shd w:fill="FFFFFF" w:val="clear"/>
          </w:tcPr>
          <w:p>
            <w:pPr>
              <w:spacing w:after="20" w:before="20"/>
              <w:jc w:val="center"/>
            </w:pPr>
            <w:r>
              <w:rPr>
                <w:rFonts w:ascii="Consolas" w:cs="Consolas" w:eastAsia="Consolas" w:hAnsi="Consolas"/>
                <w:b w:val="false"/>
                <w:bCs w:val="false"/>
                <w:color w:val="1F2A36"/>
                <w:sz w:val="18"/>
                <w:szCs w:val="18"/>
              </w:rPr>
              <w:t xml:space="preserve">11.5</w:t>
            </w:r>
          </w:p>
        </w:tc>
        <w:tc>
          <w:tcPr>
            <w:tcW w:type="dxa" w:w="1500"/>
            <w:shd w:fill="FFFFFF" w:val="clear"/>
          </w:tcPr>
          <w:p>
            <w:pPr>
              <w:spacing w:after="20" w:before="20"/>
              <w:jc w:val="center"/>
            </w:pPr>
            <w:r>
              <w:rPr>
                <w:rFonts w:ascii="Calibri" w:cs="Calibri" w:eastAsia="Calibri" w:hAnsi="Calibri"/>
                <w:b w:val="false"/>
                <w:bCs w:val="false"/>
                <w:color w:val="1F2A36"/>
                <w:sz w:val="18"/>
                <w:szCs w:val="18"/>
              </w:rPr>
              <w:t xml:space="preserve">4.0</w:t>
            </w:r>
          </w:p>
        </w:tc>
        <w:tc>
          <w:tcPr>
            <w:tcW w:type="dxa" w:w="1900"/>
            <w:shd w:fill="FFFFFF" w:val="clear"/>
          </w:tcPr>
          <w:p>
            <w:pPr>
              <w:spacing w:after="20" w:before="20"/>
              <w:jc w:val="center"/>
            </w:pPr>
            <w:r>
              <w:rPr>
                <w:rFonts w:ascii="Calibri" w:cs="Calibri" w:eastAsia="Calibri" w:hAnsi="Calibri"/>
                <w:b w:val="false"/>
                <w:bCs w:val="false"/>
                <w:color w:val="1F2A36"/>
                <w:sz w:val="18"/>
                <w:szCs w:val="18"/>
              </w:rPr>
              <w:t xml:space="preserve">22.0</w:t>
            </w:r>
          </w:p>
        </w:tc>
      </w:tr>
      <w:tr>
        <w:tc>
          <w:tcPr>
            <w:tcW w:type="dxa" w:w="2100"/>
            <w:shd w:fill="F1F5F9" w:val="clear"/>
          </w:tcPr>
          <w:p>
            <w:pPr>
              <w:spacing w:after="20" w:before="20"/>
              <w:jc w:val="left"/>
            </w:pPr>
            <w:r>
              <w:rPr>
                <w:rFonts w:ascii="Calibri" w:cs="Calibri" w:eastAsia="Calibri" w:hAnsi="Calibri"/>
                <w:b w:val="false"/>
                <w:bCs w:val="false"/>
                <w:color w:val="1F2A36"/>
                <w:sz w:val="18"/>
                <w:szCs w:val="18"/>
              </w:rPr>
              <w:t xml:space="preserve">Europe</w:t>
            </w:r>
          </w:p>
        </w:tc>
        <w:tc>
          <w:tcPr>
            <w:tcW w:type="dxa" w:w="1500"/>
            <w:shd w:fill="F1F5F9" w:val="clear"/>
          </w:tcPr>
          <w:p>
            <w:pPr>
              <w:spacing w:after="20" w:before="20"/>
              <w:jc w:val="center"/>
            </w:pPr>
            <w:r>
              <w:rPr>
                <w:rFonts w:ascii="Consolas" w:cs="Consolas" w:eastAsia="Consolas" w:hAnsi="Consolas"/>
                <w:b w:val="false"/>
                <w:bCs w:val="false"/>
                <w:color w:val="1F2A36"/>
                <w:sz w:val="18"/>
                <w:szCs w:val="18"/>
              </w:rPr>
              <w:t xml:space="preserve">9.0</w:t>
            </w:r>
          </w:p>
        </w:tc>
        <w:tc>
          <w:tcPr>
            <w:tcW w:type="dxa" w:w="1500"/>
            <w:shd w:fill="F1F5F9" w:val="clear"/>
          </w:tcPr>
          <w:p>
            <w:pPr>
              <w:spacing w:after="20" w:before="20"/>
              <w:jc w:val="center"/>
            </w:pPr>
            <w:r>
              <w:rPr>
                <w:rFonts w:ascii="Consolas" w:cs="Consolas" w:eastAsia="Consolas" w:hAnsi="Consolas"/>
                <w:b w:val="false"/>
                <w:bCs w:val="false"/>
                <w:color w:val="1F2A36"/>
                <w:sz w:val="18"/>
                <w:szCs w:val="18"/>
              </w:rPr>
              <w:t xml:space="preserve">12.0</w:t>
            </w:r>
          </w:p>
        </w:tc>
        <w:tc>
          <w:tcPr>
            <w:tcW w:type="dxa" w:w="1500"/>
            <w:shd w:fill="F1F5F9" w:val="clear"/>
          </w:tcPr>
          <w:p>
            <w:pPr>
              <w:spacing w:after="20" w:before="20"/>
              <w:jc w:val="center"/>
            </w:pPr>
            <w:r>
              <w:rPr>
                <w:rFonts w:ascii="Calibri" w:cs="Calibri" w:eastAsia="Calibri" w:hAnsi="Calibri"/>
                <w:b w:val="false"/>
                <w:bCs w:val="false"/>
                <w:color w:val="1F2A36"/>
                <w:sz w:val="18"/>
                <w:szCs w:val="18"/>
              </w:rPr>
              <w:t xml:space="preserve">4.5</w:t>
            </w:r>
          </w:p>
        </w:tc>
        <w:tc>
          <w:tcPr>
            <w:tcW w:type="dxa" w:w="1900"/>
            <w:shd w:fill="F1F5F9" w:val="clear"/>
          </w:tcPr>
          <w:p>
            <w:pPr>
              <w:spacing w:after="20" w:before="20"/>
              <w:jc w:val="center"/>
            </w:pPr>
            <w:r>
              <w:rPr>
                <w:rFonts w:ascii="Calibri" w:cs="Calibri" w:eastAsia="Calibri" w:hAnsi="Calibri"/>
                <w:b w:val="false"/>
                <w:bCs w:val="false"/>
                <w:color w:val="1F2A36"/>
                <w:sz w:val="18"/>
                <w:szCs w:val="18"/>
              </w:rPr>
              <w:t xml:space="preserve">25.5</w:t>
            </w:r>
          </w:p>
        </w:tc>
      </w:tr>
      <w:tr>
        <w:tc>
          <w:tcPr>
            <w:tcW w:type="dxa" w:w="2100"/>
            <w:shd w:fill="FFFFFF" w:val="clear"/>
          </w:tcPr>
          <w:p>
            <w:pPr>
              <w:spacing w:after="20" w:before="20"/>
              <w:jc w:val="left"/>
            </w:pPr>
            <w:r>
              <w:rPr>
                <w:rFonts w:ascii="Calibri" w:cs="Calibri" w:eastAsia="Calibri" w:hAnsi="Calibri"/>
                <w:b w:val="false"/>
                <w:bCs w:val="false"/>
                <w:color w:val="1F2A36"/>
                <w:sz w:val="18"/>
                <w:szCs w:val="18"/>
              </w:rPr>
              <w:t xml:space="preserve">North America</w:t>
            </w:r>
          </w:p>
        </w:tc>
        <w:tc>
          <w:tcPr>
            <w:tcW w:type="dxa" w:w="1500"/>
            <w:shd w:fill="FFFFFF" w:val="clear"/>
          </w:tcPr>
          <w:p>
            <w:pPr>
              <w:spacing w:after="20" w:before="20"/>
              <w:jc w:val="center"/>
            </w:pPr>
            <w:r>
              <w:rPr>
                <w:rFonts w:ascii="Consolas" w:cs="Consolas" w:eastAsia="Consolas" w:hAnsi="Consolas"/>
                <w:b w:val="false"/>
                <w:bCs w:val="false"/>
                <w:color w:val="1F2A36"/>
                <w:sz w:val="18"/>
                <w:szCs w:val="18"/>
              </w:rPr>
              <w:t xml:space="preserve">11.0</w:t>
            </w:r>
          </w:p>
        </w:tc>
        <w:tc>
          <w:tcPr>
            <w:tcW w:type="dxa" w:w="1500"/>
            <w:shd w:fill="FFFFFF" w:val="clear"/>
          </w:tcPr>
          <w:p>
            <w:pPr>
              <w:spacing w:after="20" w:before="20"/>
              <w:jc w:val="center"/>
            </w:pPr>
            <w:r>
              <w:rPr>
                <w:rFonts w:ascii="Consolas" w:cs="Consolas" w:eastAsia="Consolas" w:hAnsi="Consolas"/>
                <w:b w:val="false"/>
                <w:bCs w:val="false"/>
                <w:color w:val="1F2A36"/>
                <w:sz w:val="18"/>
                <w:szCs w:val="18"/>
              </w:rPr>
              <w:t xml:space="preserve">18.0</w:t>
            </w:r>
          </w:p>
        </w:tc>
        <w:tc>
          <w:tcPr>
            <w:tcW w:type="dxa" w:w="1500"/>
            <w:shd w:fill="FFFFFF" w:val="clear"/>
          </w:tcPr>
          <w:p>
            <w:pPr>
              <w:spacing w:after="20" w:before="20"/>
              <w:jc w:val="center"/>
            </w:pPr>
            <w:r>
              <w:rPr>
                <w:rFonts w:ascii="Calibri" w:cs="Calibri" w:eastAsia="Calibri" w:hAnsi="Calibri"/>
                <w:b w:val="false"/>
                <w:bCs w:val="false"/>
                <w:color w:val="1F2A36"/>
                <w:sz w:val="18"/>
                <w:szCs w:val="18"/>
              </w:rPr>
              <w:t xml:space="preserve">5.5</w:t>
            </w:r>
          </w:p>
        </w:tc>
        <w:tc>
          <w:tcPr>
            <w:tcW w:type="dxa" w:w="1900"/>
            <w:shd w:fill="FFFFFF" w:val="clear"/>
          </w:tcPr>
          <w:p>
            <w:pPr>
              <w:spacing w:after="20" w:before="20"/>
              <w:jc w:val="center"/>
            </w:pPr>
            <w:r>
              <w:rPr>
                <w:rFonts w:ascii="Calibri" w:cs="Calibri" w:eastAsia="Calibri" w:hAnsi="Calibri"/>
                <w:b w:val="false"/>
                <w:bCs w:val="false"/>
                <w:color w:val="1F2A36"/>
                <w:sz w:val="18"/>
                <w:szCs w:val="18"/>
              </w:rPr>
              <w:t xml:space="preserve">34.5</w:t>
            </w:r>
          </w:p>
        </w:tc>
      </w:tr>
    </w:tbl>
    <w:p>
      <w:pPr>
        <w:spacing w:after="140" w:before="80"/>
      </w:pPr>
      <w:r>
        <w:rPr>
          <w:rFonts w:ascii="Calibri" w:cs="Calibri" w:eastAsia="Calibri" w:hAnsi="Calibri"/>
          <w:b w:val="false"/>
          <w:bCs w:val="false"/>
          <w:i/>
          <w:iCs/>
          <w:color w:val="60707F"/>
          <w:sz w:val="19"/>
          <w:szCs w:val="19"/>
        </w:rPr>
        <w:t xml:space="preserve">These replace an earlier table that was residential-led with rich-region totals up to 63 GJ cap</w:t>
      </w:r>
      <w:r>
        <w:rPr>
          <w:rFonts w:ascii="Calibri" w:cs="Calibri" w:eastAsia="Calibri" w:hAnsi="Calibri"/>
          <w:b w:val="false"/>
          <w:bCs w:val="false"/>
          <w:i/>
          <w:iCs/>
          <w:color w:val="60707F"/>
          <w:sz w:val="19"/>
          <w:szCs w:val="19"/>
        </w:rPr>
        <w:t xml:space="preserve">−</w:t>
      </w:r>
      <w:r>
        <w:rPr>
          <w:rFonts w:ascii="Calibri" w:cs="Calibri" w:eastAsia="Calibri" w:hAnsi="Calibri"/>
          <w:b w:val="false"/>
          <w:bCs w:val="false"/>
          <w:i/>
          <w:iCs/>
          <w:color w:val="60707F"/>
          <w:sz w:val="19"/>
          <w:szCs w:val="19"/>
        </w:rPr>
        <w:t xml:space="preserve">¹ (i.e. tracking consumption rather than need). They are a documented, DESIRE-consistent best estimate; for the final published value they should be replaced with DESIRE's country-level thresholds population-weighted to R10 (or confirmed with the authors).</w:t>
      </w:r>
    </w:p>
    <w:p>
      <w:pPr>
        <w:pStyle w:val="Heading1"/>
        <w:spacing w:after="120" w:before="240"/>
      </w:pPr>
      <w:r>
        <w:rPr>
          <w:rFonts w:ascii="Calibri" w:cs="Calibri" w:eastAsia="Calibri" w:hAnsi="Calibri"/>
          <w:b/>
          <w:bCs/>
          <w:color w:val="1c3a5e"/>
          <w:sz w:val="28"/>
          <w:szCs w:val="28"/>
        </w:rPr>
        <w:t xml:space="preserve">3.  Justification (why this is defensible)</w:t>
      </w:r>
    </w:p>
    <w:p>
      <w:pPr>
        <w:spacing w:after="140" w:line="276"/>
        <w:jc w:val="both"/>
      </w:pPr>
      <w:r>
        <w:rPr>
          <w:rFonts w:ascii="Calibri" w:cs="Calibri" w:eastAsia="Calibri" w:hAnsi="Calibri"/>
          <w:b w:val="false"/>
          <w:bCs w:val="false"/>
          <w:i w:val="false"/>
          <w:iCs w:val="false"/>
          <w:sz w:val="22"/>
          <w:szCs w:val="22"/>
        </w:rPr>
        <w:t xml:space="preserve">The approach adapts DESIRE in two respects, both standard and defensible in the integrated-assessment literature:</w:t>
      </w:r>
    </w:p>
    <w:p>
      <w:pPr>
        <w:pStyle w:val="ListParagraph"/>
        <w:numPr>
          <w:ilvl w:val="0"/>
          <w:numId w:val="1"/>
        </w:numPr>
        <w:spacing w:after="70" w:line="264"/>
      </w:pPr>
      <w:r>
        <w:rPr>
          <w:rFonts w:ascii="Calibri" w:cs="Calibri" w:eastAsia="Calibri" w:hAnsi="Calibri"/>
          <w:b/>
          <w:bCs/>
          <w:i w:val="false"/>
          <w:iCs w:val="false"/>
          <w:sz w:val="22"/>
          <w:szCs w:val="22"/>
        </w:rPr>
        <w:t xml:space="preserve">Top-down overlay. </w:t>
      </w:r>
      <w:r>
        <w:rPr>
          <w:rFonts w:ascii="Calibri" w:cs="Calibri" w:eastAsia="Calibri" w:hAnsi="Calibri"/>
          <w:b w:val="false"/>
          <w:bCs w:val="false"/>
          <w:i w:val="false"/>
          <w:iCs w:val="false"/>
          <w:sz w:val="22"/>
          <w:szCs w:val="22"/>
        </w:rPr>
        <w:t xml:space="preserve">DLE thresholds are applied on top of the model's final-energy output rather than reconstructed bottom-up from decent-living service requirements. This is the same overlay DESIRE itself uses to interpret scenario output, so it is established methodology, not a novel construction.</w:t>
      </w:r>
    </w:p>
    <w:p>
      <w:pPr>
        <w:pStyle w:val="ListParagraph"/>
        <w:numPr>
          <w:ilvl w:val="0"/>
          <w:numId w:val="1"/>
        </w:numPr>
        <w:spacing w:after="70" w:line="264"/>
      </w:pPr>
      <w:r>
        <w:rPr>
          <w:rFonts w:ascii="Calibri" w:cs="Calibri" w:eastAsia="Calibri" w:hAnsi="Calibri"/>
          <w:b/>
          <w:bCs/>
          <w:i w:val="false"/>
          <w:iCs w:val="false"/>
          <w:sz w:val="22"/>
          <w:szCs w:val="22"/>
        </w:rPr>
        <w:t xml:space="preserve">Benchmarked thresholds. </w:t>
      </w:r>
      <w:r>
        <w:rPr>
          <w:rFonts w:ascii="Calibri" w:cs="Calibri" w:eastAsia="Calibri" w:hAnsi="Calibri"/>
          <w:b w:val="false"/>
          <w:bCs w:val="false"/>
          <w:i w:val="false"/>
          <w:iCs w:val="false"/>
          <w:sz w:val="22"/>
          <w:szCs w:val="22"/>
        </w:rPr>
        <w:t xml:space="preserve">Because DESIRE reports thresholds at the country level, its published sectoral means and ranges are mapped to the five R10 regions by climate and settlement geography, keeping every sector within DESIRE's published range and every regional total within its 17–35 GJ cap</w:t>
      </w:r>
      <w:r>
        <w:rPr>
          <w:rFonts w:ascii="Calibri" w:cs="Calibri" w:eastAsia="Calibri" w:hAnsi="Calibri"/>
          <w:b w:val="false"/>
          <w:bCs w:val="false"/>
          <w:i w:val="false"/>
          <w:iCs w:val="false"/>
          <w:sz w:val="22"/>
          <w:szCs w:val="22"/>
        </w:rPr>
        <w:t xml:space="preserve">−</w:t>
      </w:r>
      <w:r>
        <w:rPr>
          <w:rFonts w:ascii="Calibri" w:cs="Calibri" w:eastAsia="Calibri" w:hAnsi="Calibri"/>
          <w:b w:val="false"/>
          <w:bCs w:val="false"/>
          <w:i w:val="false"/>
          <w:iCs w:val="false"/>
          <w:sz w:val="22"/>
          <w:szCs w:val="22"/>
        </w:rPr>
        <w:t xml:space="preserve">¹ span. Transferring benchmark thresholds from a published source is common practice; the only judgement is the regional interpolation, which is transparent and bounded.</w:t>
      </w:r>
    </w:p>
    <w:p>
      <w:pPr>
        <w:spacing w:after="140" w:line="276"/>
        <w:jc w:val="both"/>
      </w:pPr>
      <w:r>
        <w:rPr>
          <w:rFonts w:ascii="Calibri" w:cs="Calibri" w:eastAsia="Calibri" w:hAnsi="Calibri"/>
          <w:b w:val="false"/>
          <w:bCs w:val="false"/>
          <w:i w:val="false"/>
          <w:iCs w:val="false"/>
          <w:sz w:val="22"/>
          <w:szCs w:val="22"/>
        </w:rPr>
        <w:t xml:space="preserve">Two features strengthen the design. First, the gap </w:t>
      </w:r>
      <w:r>
        <w:rPr>
          <w:rFonts w:ascii="Calibri" w:cs="Calibri" w:eastAsia="Calibri" w:hAnsi="Calibri"/>
          <w:b w:val="false"/>
          <w:bCs w:val="false"/>
          <w:i/>
          <w:iCs/>
          <w:sz w:val="22"/>
          <w:szCs w:val="22"/>
        </w:rPr>
        <w:t xml:space="preserve">definition</w:t>
      </w:r>
      <w:r>
        <w:rPr>
          <w:rFonts w:ascii="Calibri" w:cs="Calibri" w:eastAsia="Calibri" w:hAnsi="Calibri"/>
          <w:b w:val="false"/>
          <w:bCs w:val="false"/>
          <w:i w:val="false"/>
          <w:iCs w:val="false"/>
          <w:sz w:val="22"/>
          <w:szCs w:val="22"/>
        </w:rPr>
        <w:t xml:space="preserve"> follows Kikstra et al. exactly (the distributional lift-to-threshold integral); only the energy input (model output) and the threshold source (interpolated) are adapted — hence the metric is named the DLE gap </w:t>
      </w:r>
      <w:r>
        <w:rPr>
          <w:rFonts w:ascii="Calibri" w:cs="Calibri" w:eastAsia="Calibri" w:hAnsi="Calibri"/>
          <w:b w:val="false"/>
          <w:bCs w:val="false"/>
          <w:i/>
          <w:iCs/>
          <w:sz w:val="22"/>
          <w:szCs w:val="22"/>
        </w:rPr>
        <w:t xml:space="preserve">adapted from</w:t>
      </w:r>
      <w:r>
        <w:rPr>
          <w:rFonts w:ascii="Calibri" w:cs="Calibri" w:eastAsia="Calibri" w:hAnsi="Calibri"/>
          <w:b w:val="false"/>
          <w:bCs w:val="false"/>
          <w:i w:val="false"/>
          <w:iCs w:val="false"/>
          <w:sz w:val="22"/>
          <w:szCs w:val="22"/>
        </w:rPr>
        <w:t xml:space="preserve"> Kikstra et al. (2025), not a claim of exact reproduction. Second, and most important for the inference here, </w:t>
      </w:r>
      <w:r>
        <w:rPr>
          <w:rFonts w:ascii="Calibri" w:cs="Calibri" w:eastAsia="Calibri" w:hAnsi="Calibri"/>
          <w:b/>
          <w:bCs/>
          <w:i w:val="false"/>
          <w:iCs w:val="false"/>
          <w:sz w:val="22"/>
          <w:szCs w:val="22"/>
        </w:rPr>
        <w:t xml:space="preserve">both pathway groups are evaluated against identical thresholds</w:t>
      </w:r>
      <w:r>
        <w:rPr>
          <w:rFonts w:ascii="Calibri" w:cs="Calibri" w:eastAsia="Calibri" w:hAnsi="Calibri"/>
          <w:b w:val="false"/>
          <w:bCs w:val="false"/>
          <w:i w:val="false"/>
          <w:iCs w:val="false"/>
          <w:sz w:val="22"/>
          <w:szCs w:val="22"/>
        </w:rPr>
        <w:t xml:space="preserve">, so any threshold miscalibration shifts both gaps together and largely cancels in the High-CDR vs High-RE contrast — the primary quantity of interest. The sign and significance of the contrast are therefore robust to the threshold level even where absolute magnitudes are not; this is demonstrated by the threshold-sensitivity analysis (Section 5).</w:t>
      </w:r>
    </w:p>
    <w:p>
      <w:pPr>
        <w:pStyle w:val="Heading1"/>
        <w:spacing w:after="120" w:before="240"/>
      </w:pPr>
      <w:r>
        <w:rPr>
          <w:rFonts w:ascii="Calibri" w:cs="Calibri" w:eastAsia="Calibri" w:hAnsi="Calibri"/>
          <w:b/>
          <w:bCs/>
          <w:color w:val="1c3a5e"/>
          <w:sz w:val="28"/>
          <w:szCs w:val="28"/>
        </w:rPr>
        <w:t xml:space="preserve">4.  Limitations (draft text)</w:t>
      </w:r>
    </w:p>
    <w:p>
      <w:pPr>
        <w:spacing w:after="140" w:line="276"/>
        <w:jc w:val="both"/>
      </w:pPr>
      <w:r>
        <w:rPr>
          <w:rFonts w:ascii="Calibri" w:cs="Calibri" w:eastAsia="Calibri" w:hAnsi="Calibri"/>
          <w:b w:val="false"/>
          <w:bCs w:val="false"/>
          <w:i w:val="false"/>
          <w:iCs w:val="false"/>
          <w:sz w:val="22"/>
          <w:szCs w:val="22"/>
        </w:rPr>
        <w:t xml:space="preserve">The DLE indicators carry two limitations that should be stated explicitly. First, the top-down overlay does not capture DESIRE's full bottom-up service accounting (e.g. floor area, passenger-kilometres, material stocks), so absolute gap magnitudes are DLE-benchmarked approximations rather than exact decent-living energy needs. Second, the R10 thresholds are interpolated from published aggregates rather than DESIRE's exact regional aggregation; the resulting sensitivity is quantified by re-running the analysis under a ±25% threshold sweep and an alternative threshold set (Section 5). Because both pathway groups face identical thresholds, these uncertainties affect absolute levels far more than the High-CDR vs High-RE contrast, whose sign and significance are stable across the sweep. Finally, the deprivation headcount — which matches DESIRE's method and definition — is bounded in [0, population] and is therefore the more robust of the two energy-poverty indicators; it is reported as primary, with the aggregate gap as a supporting diagnostic.</w:t>
      </w:r>
    </w:p>
    <w:p>
      <w:pPr>
        <w:pStyle w:val="Heading1"/>
        <w:spacing w:after="120" w:before="240"/>
      </w:pPr>
      <w:r>
        <w:rPr>
          <w:rFonts w:ascii="Calibri" w:cs="Calibri" w:eastAsia="Calibri" w:hAnsi="Calibri"/>
          <w:b/>
          <w:bCs/>
          <w:color w:val="1c3a5e"/>
          <w:sz w:val="28"/>
          <w:szCs w:val="28"/>
        </w:rPr>
        <w:t xml:space="preserve">5.  Next steps (roadmap)</w:t>
      </w:r>
    </w:p>
    <w:p>
      <w:pPr>
        <w:pStyle w:val="ListParagraph"/>
        <w:numPr>
          <w:ilvl w:val="0"/>
          <w:numId w:val="2"/>
        </w:numPr>
        <w:spacing w:after="70" w:line="264"/>
      </w:pPr>
      <w:r>
        <w:rPr>
          <w:rFonts w:ascii="Calibri" w:cs="Calibri" w:eastAsia="Calibri" w:hAnsi="Calibri"/>
          <w:b/>
          <w:bCs/>
          <w:i w:val="false"/>
          <w:iCs w:val="false"/>
          <w:sz w:val="22"/>
          <w:szCs w:val="22"/>
        </w:rPr>
        <w:t xml:space="preserve">Apply the corrected DLE code. </w:t>
      </w:r>
      <w:r>
        <w:rPr>
          <w:rFonts w:ascii="Calibri" w:cs="Calibri" w:eastAsia="Calibri" w:hAnsi="Calibri"/>
          <w:b w:val="false"/>
          <w:bCs w:val="false"/>
          <w:i w:val="false"/>
          <w:iCs w:val="false"/>
          <w:sz w:val="22"/>
          <w:szCs w:val="22"/>
        </w:rPr>
        <w:t xml:space="preserve">Patch Section 4c of COMPASS_master_analysis_2.R with dle_fix.R (recalibrated thresholds, ~1.9%/yr efficiency, and the distributional gap), then re-run the pipeline. The deprivation headcount and all non-DLE outcomes are unaffected; the DLE gap and its implied-CO₂ shadow will be regenerated.</w:t>
      </w:r>
    </w:p>
    <w:p>
      <w:pPr>
        <w:pStyle w:val="ListParagraph"/>
        <w:numPr>
          <w:ilvl w:val="0"/>
          <w:numId w:val="2"/>
        </w:numPr>
        <w:spacing w:after="70" w:line="264"/>
      </w:pPr>
      <w:r>
        <w:rPr>
          <w:rFonts w:ascii="Calibri" w:cs="Calibri" w:eastAsia="Calibri" w:hAnsi="Calibri"/>
          <w:b/>
          <w:bCs/>
          <w:i w:val="false"/>
          <w:iCs w:val="false"/>
          <w:sz w:val="22"/>
          <w:szCs w:val="22"/>
        </w:rPr>
        <w:t xml:space="preserve">Run the threshold-sensitivity sweep. </w:t>
      </w:r>
      <w:r>
        <w:rPr>
          <w:rFonts w:ascii="Calibri" w:cs="Calibri" w:eastAsia="Calibri" w:hAnsi="Calibri"/>
          <w:b w:val="false"/>
          <w:bCs w:val="false"/>
          <w:i w:val="false"/>
          <w:iCs w:val="false"/>
          <w:sz w:val="22"/>
          <w:szCs w:val="22"/>
        </w:rPr>
        <w:t xml:space="preserve">Execute dle_sensitivity.R (after the re-run). Confirm the sign/significance of the High-CDR vs High-RE contrast is stable across DESIRE ×0.75 / ×1.00 / ×1.25 and the alternative table; report the resulting table (or heatmap) in the SI as the robustness check.</w:t>
      </w:r>
    </w:p>
    <w:p>
      <w:pPr>
        <w:pStyle w:val="ListParagraph"/>
        <w:numPr>
          <w:ilvl w:val="0"/>
          <w:numId w:val="2"/>
        </w:numPr>
        <w:spacing w:after="70" w:line="264"/>
      </w:pPr>
      <w:r>
        <w:rPr>
          <w:rFonts w:ascii="Calibri" w:cs="Calibri" w:eastAsia="Calibri" w:hAnsi="Calibri"/>
          <w:b/>
          <w:bCs/>
          <w:i w:val="false"/>
          <w:iCs w:val="false"/>
          <w:sz w:val="22"/>
          <w:szCs w:val="22"/>
        </w:rPr>
        <w:t xml:space="preserve">Check whether the reversal survives. </w:t>
      </w:r>
      <w:r>
        <w:rPr>
          <w:rFonts w:ascii="Calibri" w:cs="Calibri" w:eastAsia="Calibri" w:hAnsi="Calibri"/>
          <w:b w:val="false"/>
          <w:bCs w:val="false"/>
          <w:i w:val="false"/>
          <w:iCs w:val="false"/>
          <w:sz w:val="22"/>
          <w:szCs w:val="22"/>
        </w:rPr>
        <w:t xml:space="preserve">The energy-gap 'reversal' under SCI vetting was produced by the old mean-based gap. Verify on the corrected (distributional) gap whether it persists, weakens, or disappears — and update the deck's reversal / verdict slides accordingly.</w:t>
      </w:r>
    </w:p>
    <w:p>
      <w:pPr>
        <w:pStyle w:val="ListParagraph"/>
        <w:numPr>
          <w:ilvl w:val="0"/>
          <w:numId w:val="2"/>
        </w:numPr>
        <w:spacing w:after="70" w:line="264"/>
      </w:pPr>
      <w:r>
        <w:rPr>
          <w:rFonts w:ascii="Calibri" w:cs="Calibri" w:eastAsia="Calibri" w:hAnsi="Calibri"/>
          <w:b/>
          <w:bCs/>
          <w:i w:val="false"/>
          <w:iCs w:val="false"/>
          <w:sz w:val="22"/>
          <w:szCs w:val="22"/>
        </w:rPr>
        <w:t xml:space="preserve">Upgrade the thresholds toward authoritative values. </w:t>
      </w:r>
      <w:r>
        <w:rPr>
          <w:rFonts w:ascii="Calibri" w:cs="Calibri" w:eastAsia="Calibri" w:hAnsi="Calibri"/>
          <w:b w:val="false"/>
          <w:bCs w:val="false"/>
          <w:i w:val="false"/>
          <w:iCs w:val="false"/>
          <w:sz w:val="22"/>
          <w:szCs w:val="22"/>
        </w:rPr>
        <w:t xml:space="preserve">Either read DESIRE's country-level thresholds from its supplementary data and population-weight to R10, or request the R10 aggregates from the authors; drop them into dle_fix.R in place of the interpolated table. (Route 2 — a bottom-up reconstruction from Rao, Min &amp; Mastrucci 2019 — remains available if a reviewer requires it.)</w:t>
      </w:r>
    </w:p>
    <w:p>
      <w:pPr>
        <w:pStyle w:val="ListParagraph"/>
        <w:numPr>
          <w:ilvl w:val="0"/>
          <w:numId w:val="2"/>
        </w:numPr>
        <w:spacing w:after="70" w:line="264"/>
      </w:pPr>
      <w:r>
        <w:rPr>
          <w:rFonts w:ascii="Calibri" w:cs="Calibri" w:eastAsia="Calibri" w:hAnsi="Calibri"/>
          <w:b/>
          <w:bCs/>
          <w:i w:val="false"/>
          <w:iCs w:val="false"/>
          <w:sz w:val="22"/>
          <w:szCs w:val="22"/>
        </w:rPr>
        <w:t xml:space="preserve">Verify the energy Gini coefficients. </w:t>
      </w:r>
      <w:r>
        <w:rPr>
          <w:rFonts w:ascii="Calibri" w:cs="Calibri" w:eastAsia="Calibri" w:hAnsi="Calibri"/>
          <w:b w:val="false"/>
          <w:bCs w:val="false"/>
          <w:i w:val="false"/>
          <w:iCs w:val="false"/>
          <w:sz w:val="22"/>
          <w:szCs w:val="22"/>
        </w:rPr>
        <w:t xml:space="preserve">Population-weight within-country energy Gini values from Oswald et al. 2021 to the five R10 regions and confirm the current values (0.25–0.45); these set the lognormal spread for both the headcount and the gap.</w:t>
      </w:r>
    </w:p>
    <w:p>
      <w:pPr>
        <w:pStyle w:val="ListParagraph"/>
        <w:numPr>
          <w:ilvl w:val="0"/>
          <w:numId w:val="2"/>
        </w:numPr>
        <w:spacing w:after="70" w:line="264"/>
      </w:pPr>
      <w:r>
        <w:rPr>
          <w:rFonts w:ascii="Calibri" w:cs="Calibri" w:eastAsia="Calibri" w:hAnsi="Calibri"/>
          <w:b/>
          <w:bCs/>
          <w:i w:val="false"/>
          <w:iCs w:val="false"/>
          <w:sz w:val="22"/>
          <w:szCs w:val="22"/>
        </w:rPr>
        <w:t xml:space="preserve">Finalise terminology and text. </w:t>
      </w:r>
      <w:r>
        <w:rPr>
          <w:rFonts w:ascii="Calibri" w:cs="Calibri" w:eastAsia="Calibri" w:hAnsi="Calibri"/>
          <w:b w:val="false"/>
          <w:bCs w:val="false"/>
          <w:i w:val="false"/>
          <w:iCs w:val="false"/>
          <w:sz w:val="22"/>
          <w:szCs w:val="22"/>
        </w:rPr>
        <w:t xml:space="preserve">Adopt 'DLE gap (adapted from Kikstra et al. 2025)' on first use with the Methods definition above; carry the short label 'DLE energy gap' in figures/tables. Fold Sections 1–4 into the paper's Methods and Limitations.</w:t>
      </w:r>
    </w:p>
    <w:p>
      <w:pPr>
        <w:pStyle w:val="Heading1"/>
        <w:spacing w:after="120" w:before="240"/>
      </w:pPr>
      <w:r>
        <w:rPr>
          <w:rFonts w:ascii="Calibri" w:cs="Calibri" w:eastAsia="Calibri" w:hAnsi="Calibri"/>
          <w:b/>
          <w:bCs/>
          <w:color w:val="1c3a5e"/>
          <w:sz w:val="28"/>
          <w:szCs w:val="28"/>
        </w:rPr>
        <w:t xml:space="preserve">References</w:t>
      </w:r>
    </w:p>
    <w:p>
      <w:pPr>
        <w:spacing w:after="90" w:line="264"/>
      </w:pPr>
      <w:r>
        <w:rPr>
          <w:rFonts w:ascii="Calibri" w:cs="Calibri" w:eastAsia="Calibri" w:hAnsi="Calibri"/>
          <w:b w:val="false"/>
          <w:bCs w:val="false"/>
          <w:i w:val="false"/>
          <w:iCs w:val="false"/>
          <w:sz w:val="20"/>
          <w:szCs w:val="20"/>
        </w:rPr>
        <w:t xml:space="preserve">Kikstra, J. S., et al. (2025). Closing decent living gaps in energy and emissions scenarios: introducing DESIRE. Environmental Research Letters 20, 054038. </w:t>
      </w:r>
      <w:hyperlink w:history="1" r:id="rId0mjfkl4o_vu2agofrykf5">
        <w:r>
          <w:rPr>
            <w:rFonts w:ascii="Calibri" w:cs="Calibri" w:eastAsia="Calibri" w:hAnsi="Calibri"/>
            <w:color w:val="1155CC"/>
            <w:sz w:val="20"/>
            <w:szCs w:val="20"/>
            <w:u w:val="single"/>
          </w:rPr>
          <w:t xml:space="preserve">doi:10.1088/1748-9326/adc3ad</w:t>
        </w:r>
      </w:hyperlink>
    </w:p>
    <w:p>
      <w:pPr>
        <w:spacing w:after="90" w:line="264"/>
      </w:pPr>
      <w:r>
        <w:rPr>
          <w:rFonts w:ascii="Calibri" w:cs="Calibri" w:eastAsia="Calibri" w:hAnsi="Calibri"/>
          <w:b w:val="false"/>
          <w:bCs w:val="false"/>
          <w:i w:val="false"/>
          <w:iCs w:val="false"/>
          <w:sz w:val="20"/>
          <w:szCs w:val="20"/>
        </w:rPr>
        <w:t xml:space="preserve">Kikstra, J. S., et al. (2021). Decent living gaps and energy needs around the world. Environmental Research Letters 16, 095006. </w:t>
      </w:r>
      <w:hyperlink w:history="1" r:id="rIdb-ih77eh0sv23j-c5ouri">
        <w:r>
          <w:rPr>
            <w:rFonts w:ascii="Calibri" w:cs="Calibri" w:eastAsia="Calibri" w:hAnsi="Calibri"/>
            <w:color w:val="1155CC"/>
            <w:sz w:val="20"/>
            <w:szCs w:val="20"/>
            <w:u w:val="single"/>
          </w:rPr>
          <w:t xml:space="preserve">doi:10.1088/1748-9326/ac1c27</w:t>
        </w:r>
      </w:hyperlink>
    </w:p>
    <w:p>
      <w:pPr>
        <w:spacing w:after="90" w:line="264"/>
      </w:pPr>
      <w:r>
        <w:rPr>
          <w:rFonts w:ascii="Calibri" w:cs="Calibri" w:eastAsia="Calibri" w:hAnsi="Calibri"/>
          <w:b w:val="false"/>
          <w:bCs w:val="false"/>
          <w:i w:val="false"/>
          <w:iCs w:val="false"/>
          <w:sz w:val="20"/>
          <w:szCs w:val="20"/>
        </w:rPr>
        <w:t xml:space="preserve">Rao, N. D., Min, J. &amp; Mastrucci, A. (2019). Energy requirements for decent living in India, Brazil and South Africa. Nature Energy 4, 1025–1032. </w:t>
      </w:r>
      <w:hyperlink w:history="1" r:id="rId4qy6cmcjqstl8nkdt0rkx">
        <w:r>
          <w:rPr>
            <w:rFonts w:ascii="Calibri" w:cs="Calibri" w:eastAsia="Calibri" w:hAnsi="Calibri"/>
            <w:color w:val="1155CC"/>
            <w:sz w:val="20"/>
            <w:szCs w:val="20"/>
            <w:u w:val="single"/>
          </w:rPr>
          <w:t xml:space="preserve">doi:10.1038/s41560-019-0497-9</w:t>
        </w:r>
      </w:hyperlink>
    </w:p>
    <w:p>
      <w:pPr>
        <w:spacing w:after="90" w:line="264"/>
      </w:pPr>
      <w:r>
        <w:rPr>
          <w:rFonts w:ascii="Calibri" w:cs="Calibri" w:eastAsia="Calibri" w:hAnsi="Calibri"/>
          <w:b w:val="false"/>
          <w:bCs w:val="false"/>
          <w:i w:val="false"/>
          <w:iCs w:val="false"/>
          <w:sz w:val="20"/>
          <w:szCs w:val="20"/>
        </w:rPr>
        <w:t xml:space="preserve">Rao, N. D. &amp; Min, J. (2018). Decent Living Standards: Material Prerequisites for Human Wellbeing. Social Indicators Research 138, 225–244. </w:t>
      </w:r>
      <w:hyperlink w:history="1" r:id="rIdilu5ushxc8yoaeidyj3vp">
        <w:r>
          <w:rPr>
            <w:rFonts w:ascii="Calibri" w:cs="Calibri" w:eastAsia="Calibri" w:hAnsi="Calibri"/>
            <w:color w:val="1155CC"/>
            <w:sz w:val="20"/>
            <w:szCs w:val="20"/>
            <w:u w:val="single"/>
          </w:rPr>
          <w:t xml:space="preserve">doi:10.1007/s11205-017-1650-0</w:t>
        </w:r>
      </w:hyperlink>
    </w:p>
    <w:p>
      <w:pPr>
        <w:spacing w:after="90" w:line="264"/>
      </w:pPr>
      <w:r>
        <w:rPr>
          <w:rFonts w:ascii="Calibri" w:cs="Calibri" w:eastAsia="Calibri" w:hAnsi="Calibri"/>
          <w:b w:val="false"/>
          <w:bCs w:val="false"/>
          <w:i w:val="false"/>
          <w:iCs w:val="false"/>
          <w:sz w:val="20"/>
          <w:szCs w:val="20"/>
        </w:rPr>
        <w:t xml:space="preserve">Oswald, Y., Owen, A. &amp; Steinberger, J. K. (2021). Large inequality in international and intranational energy footprints. Nature Energy 6. </w:t>
      </w:r>
      <w:hyperlink w:history="1" r:id="rIdcudzcsiofrzc1kyjbx3jx">
        <w:r>
          <w:rPr>
            <w:rFonts w:ascii="Calibri" w:cs="Calibri" w:eastAsia="Calibri" w:hAnsi="Calibri"/>
            <w:color w:val="1155CC"/>
            <w:sz w:val="20"/>
            <w:szCs w:val="20"/>
            <w:u w:val="single"/>
          </w:rPr>
          <w:t xml:space="preserve">doi:10.1038/s41560-020-0579-8</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0mjfkl4o_vu2agofrykf5" Type="http://schemas.openxmlformats.org/officeDocument/2006/relationships/hyperlink" Target="https://doi.org/10.1088/1748-9326/adc3ad" TargetMode="External"/><Relationship Id="rIdb-ih77eh0sv23j-c5ouri" Type="http://schemas.openxmlformats.org/officeDocument/2006/relationships/hyperlink" Target="https://doi.org/10.1088/1748-9326/ac1c27" TargetMode="External"/><Relationship Id="rId4qy6cmcjqstl8nkdt0rkx" Type="http://schemas.openxmlformats.org/officeDocument/2006/relationships/hyperlink" Target="https://doi.org/10.1038/s41560-019-0497-9" TargetMode="External"/><Relationship Id="rIdilu5ushxc8yoaeidyj3vp" Type="http://schemas.openxmlformats.org/officeDocument/2006/relationships/hyperlink" Target="https://doi.org/10.1007/s11205-017-1650-0" TargetMode="External"/><Relationship Id="rIdcudzcsiofrzc1kyjbx3jx" Type="http://schemas.openxmlformats.org/officeDocument/2006/relationships/hyperlink" Target="https://doi.org/10.1038/s41560-020-0579-8"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DLE methods note</dc:title>
  <dc:creator>COMPASS Analysis</dc:creator>
  <cp:lastModifiedBy>Un-named</cp:lastModifiedBy>
  <cp:revision>1</cp:revision>
  <dcterms:created xsi:type="dcterms:W3CDTF">2026-08-06T18:53:41.982Z</dcterms:created>
  <dcterms:modified xsi:type="dcterms:W3CDTF">2026-08-06T18:53:42.002Z</dcterms:modified>
</cp:coreProperties>
</file>

<file path=docProps/custom.xml><?xml version="1.0" encoding="utf-8"?>
<Properties xmlns="http://schemas.openxmlformats.org/officeDocument/2006/custom-properties" xmlns:vt="http://schemas.openxmlformats.org/officeDocument/2006/docPropsVTypes"/>
</file>