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Mortgage &amp; Real Estate Business Process Examples</w:t>
      </w:r>
    </w:p>
    <w:p>
      <w:r>
        <w:t>Compiled on 2025-06-06 10:08:00</w:t>
        <w:br/>
      </w:r>
    </w:p>
    <w:p>
      <w:pPr>
        <w:pStyle w:val="Heading2"/>
      </w:pPr>
      <w:r>
        <w:t>Loan Pre-Approval Workflow</w:t>
      </w:r>
    </w:p>
    <w:p>
      <w:r>
        <w:t>When a borrower completes a pre-approval form online, the system should evaluate their credit score, debt-to-income ratio, and employment status. If the borrower meets the minimum thresholds, a pre-approval letter should be generated and emailed automatically, along with a link to schedule a consultation with a loan officer.</w:t>
      </w:r>
    </w:p>
    <w:p>
      <w:pPr>
        <w:pStyle w:val="Heading2"/>
      </w:pPr>
      <w:r>
        <w:t>Appraisal Order Automation</w:t>
      </w:r>
    </w:p>
    <w:p>
      <w:r>
        <w:t>Once a loan file reaches the appraisal milestone, the system should trigger an API call to the preferred appraisal management company, send borrower and property details, and store the order confirmation number in the loan record. If the appraisal status is not updated within 3 business days, an automated follow-up reminder should be sent to the appraiser.</w:t>
      </w:r>
    </w:p>
    <w:p>
      <w:pPr>
        <w:pStyle w:val="Heading2"/>
      </w:pPr>
      <w:r>
        <w:t>Title Company Document Sync</w:t>
      </w:r>
    </w:p>
    <w:p>
      <w:r>
        <w:t>When a closing date is scheduled, the system should send closing instructions and loan documents to the title company via secure email or API. It should also request confirmation of title clearance and document receipt within 24 hours. Any delays should be flagged on the loan officer dashboard.</w:t>
      </w:r>
    </w:p>
    <w:p>
      <w:pPr>
        <w:pStyle w:val="Heading2"/>
      </w:pPr>
      <w:r>
        <w:t>Broker Compensation Rules</w:t>
      </w:r>
    </w:p>
    <w:p>
      <w:r>
        <w:t>For brokered loans, the system should validate that the broker compensation does not exceed the regulatory threshold and calculate the exact dollar amount based on the lender’s pricing sheet. The calculated compensation should be visible in the disclosures module and adjustable only with compliance override approval.</w:t>
      </w:r>
    </w:p>
    <w:p>
      <w:pPr>
        <w:pStyle w:val="Heading2"/>
      </w:pPr>
      <w:r>
        <w:t>Real Estate Listing Syndication</w:t>
      </w:r>
    </w:p>
    <w:p>
      <w:r>
        <w:t>When a new property listing is created in the internal MLS system, it should be syndicated to Zillow, Realtor.com, and Redfin via their respective APIs. The listing must include standardized metadata, high-resolution photos, and agent contact details. Status changes such as “Under Contract” or “Sold” should sync in real time.</w:t>
      </w:r>
    </w:p>
    <w:p>
      <w:pPr>
        <w:pStyle w:val="Heading2"/>
      </w:pPr>
      <w:r>
        <w:t>Loan Document Expiration Handling</w:t>
      </w:r>
    </w:p>
    <w:p>
      <w:r>
        <w:t>For required loan documents such as pay stubs, W-2s, and bank statements, the system should track expiration timelines. If a document is more than 60 days old before final approval, a system notification should request updated documents from the borrower portal automatically.</w:t>
      </w:r>
    </w:p>
    <w:p>
      <w:pPr>
        <w:pStyle w:val="Heading2"/>
      </w:pPr>
      <w:r>
        <w:t>Mortgage Rate Lock Monitoring</w:t>
      </w:r>
    </w:p>
    <w:p>
      <w:r>
        <w:t>When a rate lock is submitted, the system should validate against the current pricing engine values, store the lock expiration date, and trigger reminders 7 days and 3 days before expiration. If the lock expires, the system should notify secondary marketing and prompt for relock decision.</w:t>
      </w:r>
    </w:p>
    <w:p>
      <w:pPr>
        <w:pStyle w:val="Heading2"/>
      </w:pPr>
      <w:r>
        <w:t>Closing Disclosure Generation</w:t>
      </w:r>
    </w:p>
    <w:p>
      <w:r>
        <w:t>Three business days before closing, the system must generate a Closing Disclosure form with finalized fees, send it to the borrower for acknowledgment, and log digital acceptance. If acknowledgment is not received within 24 hours, escalate to the closing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