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866" w:rsidRPr="00C43143" w:rsidRDefault="00771866" w:rsidP="00771866">
      <w:pPr>
        <w:pStyle w:val="1"/>
        <w:numPr>
          <w:ilvl w:val="0"/>
          <w:numId w:val="0"/>
        </w:numPr>
        <w:ind w:firstLine="284"/>
        <w:rPr>
          <w:rFonts w:ascii="David" w:hAnsi="David"/>
          <w:rtl/>
        </w:rPr>
      </w:pPr>
      <w:bookmarkStart w:id="0" w:name="_Toc46904123"/>
      <w:bookmarkStart w:id="1" w:name="_Toc47084812"/>
      <w:r w:rsidRPr="00C43143">
        <w:rPr>
          <w:rFonts w:ascii="David" w:hAnsi="David"/>
          <w:rtl/>
        </w:rPr>
        <w:t>נספח: רקע תאורטי של המוסיקה המערבית</w:t>
      </w:r>
      <w:bookmarkEnd w:id="0"/>
      <w:bookmarkEnd w:id="1"/>
    </w:p>
    <w:p w:rsidR="00771866" w:rsidRPr="00C43143" w:rsidRDefault="00771866" w:rsidP="00771866">
      <w:pPr>
        <w:spacing w:before="240"/>
        <w:ind w:left="284"/>
        <w:jc w:val="both"/>
        <w:rPr>
          <w:rFonts w:ascii="David" w:hAnsi="David"/>
          <w:rtl/>
        </w:rPr>
      </w:pPr>
      <w:r w:rsidRPr="00C43143">
        <w:rPr>
          <w:rFonts w:ascii="David" w:hAnsi="David"/>
          <w:rtl/>
        </w:rPr>
        <w:t xml:space="preserve">סעיף זה סוקר בקצרה מונחים בסיסיים מהטרמינולוגיה המוסיקלית שמוזכרים במסגרת הסמינר. </w:t>
      </w:r>
    </w:p>
    <w:p w:rsidR="00771866" w:rsidRPr="00C43143" w:rsidRDefault="00771866" w:rsidP="00771866">
      <w:pPr>
        <w:pStyle w:val="a3"/>
        <w:numPr>
          <w:ilvl w:val="0"/>
          <w:numId w:val="3"/>
        </w:numPr>
        <w:jc w:val="both"/>
        <w:rPr>
          <w:rFonts w:ascii="David" w:hAnsi="David"/>
          <w:b/>
          <w:bCs/>
          <w:u w:val="single"/>
          <w:rtl/>
        </w:rPr>
      </w:pPr>
      <w:r w:rsidRPr="00C43143">
        <w:rPr>
          <w:rFonts w:ascii="David" w:hAnsi="David"/>
          <w:b/>
          <w:bCs/>
          <w:u w:val="single"/>
          <w:rtl/>
        </w:rPr>
        <w:t xml:space="preserve">שנים עשר הצלילים של הסולם הכרומטי </w:t>
      </w:r>
    </w:p>
    <w:p w:rsidR="00771866" w:rsidRPr="00C43143" w:rsidRDefault="00771866" w:rsidP="00771866">
      <w:pPr>
        <w:ind w:left="284"/>
        <w:jc w:val="both"/>
        <w:rPr>
          <w:rFonts w:ascii="David" w:hAnsi="David"/>
          <w:rtl/>
        </w:rPr>
      </w:pPr>
      <w:r w:rsidRPr="00C43143">
        <w:rPr>
          <w:rFonts w:ascii="David" w:hAnsi="David"/>
          <w:b/>
          <w:bCs/>
          <w:rtl/>
        </w:rPr>
        <w:t>גובה צליל</w:t>
      </w:r>
      <w:r w:rsidRPr="00C43143">
        <w:rPr>
          <w:rFonts w:ascii="David" w:hAnsi="David"/>
          <w:rtl/>
        </w:rPr>
        <w:t xml:space="preserve"> (</w:t>
      </w:r>
      <w:r w:rsidRPr="00C43143">
        <w:rPr>
          <w:rFonts w:ascii="David" w:hAnsi="David"/>
        </w:rPr>
        <w:t>pitch</w:t>
      </w:r>
      <w:r w:rsidRPr="00C43143">
        <w:rPr>
          <w:rFonts w:ascii="David" w:hAnsi="David"/>
          <w:rtl/>
        </w:rPr>
        <w:t xml:space="preserve">) מוגדר ע"י תדירות גלי הקול של הצליל – ככל שהתדר של הצליל גבוה יותר, כך הוא גם נשמע גבוה יותר (ולהפך). בהמשך נקצר ונאמר פשוט 'צליל' כאשר הכוונה היא לגובה צליל. </w:t>
      </w:r>
      <w:r w:rsidRPr="00C43143">
        <w:rPr>
          <w:rFonts w:ascii="David" w:hAnsi="David"/>
          <w:b/>
          <w:bCs/>
          <w:rtl/>
        </w:rPr>
        <w:t>מרווח</w:t>
      </w:r>
      <w:r w:rsidRPr="00C43143">
        <w:rPr>
          <w:rFonts w:ascii="David" w:hAnsi="David"/>
          <w:rtl/>
        </w:rPr>
        <w:t xml:space="preserve"> הוא היחס שבין שני (גבהי) צלילים. מקובל למדוד יחס זה ביחידות של טון</w:t>
      </w:r>
      <w:r w:rsidRPr="00C43143">
        <w:rPr>
          <w:rFonts w:ascii="David" w:hAnsi="David"/>
          <w:b/>
          <w:bCs/>
          <w:rtl/>
        </w:rPr>
        <w:t xml:space="preserve"> </w:t>
      </w:r>
      <w:r w:rsidRPr="00C43143">
        <w:rPr>
          <w:rFonts w:ascii="David" w:hAnsi="David"/>
          <w:rtl/>
        </w:rPr>
        <w:t xml:space="preserve">(או חצאי-טון). </w:t>
      </w:r>
      <w:r w:rsidRPr="00C43143">
        <w:rPr>
          <w:rFonts w:ascii="David" w:hAnsi="David"/>
          <w:b/>
          <w:bCs/>
          <w:rtl/>
        </w:rPr>
        <w:t xml:space="preserve">חצי-טון </w:t>
      </w:r>
      <w:r w:rsidRPr="00C43143">
        <w:rPr>
          <w:rFonts w:ascii="David" w:hAnsi="David"/>
          <w:rtl/>
        </w:rPr>
        <w:t xml:space="preserve">הוא המרווח הקטן ביותר הנמצא בשימוש במוסיקה הטונאלית המערבית, והוא מבטא יחס של </w:t>
      </w:r>
      <w:r w:rsidRPr="00C43143">
        <w:rPr>
          <w:rFonts w:ascii="David" w:hAnsi="David"/>
          <w:position w:val="-6"/>
        </w:rPr>
        <w:object w:dxaOrig="3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5pt" o:ole="">
            <v:imagedata r:id="rId7" o:title=""/>
          </v:shape>
          <o:OLEObject Type="Embed" ProgID="Equation.DSMT4" ShapeID="_x0000_i1025" DrawAspect="Content" ObjectID="_1657715099" r:id="rId8"/>
        </w:object>
      </w:r>
      <w:r w:rsidRPr="00C43143">
        <w:rPr>
          <w:rFonts w:ascii="David" w:hAnsi="David"/>
          <w:rtl/>
        </w:rPr>
        <w:t xml:space="preserve"> בין תדירויות גלי הקול שני צלילים הסמוכים זה לזה (דהיינו צלילים הנמצאים במרחק של חצי-טון זה מזה). בתרבויות אחרות (למשל במוסיקה הודית ובמוסיקה ערבית) משתמשים אף במרווחים קטנים יותר של רבעי-טונים. </w:t>
      </w:r>
    </w:p>
    <w:p w:rsidR="00771866" w:rsidRPr="00C43143" w:rsidRDefault="00771866" w:rsidP="00771866">
      <w:pPr>
        <w:ind w:left="284"/>
        <w:jc w:val="both"/>
        <w:rPr>
          <w:rFonts w:ascii="David" w:hAnsi="David"/>
          <w:rtl/>
        </w:rPr>
      </w:pPr>
      <w:r w:rsidRPr="00C43143">
        <w:rPr>
          <w:rFonts w:ascii="David" w:hAnsi="David"/>
          <w:rtl/>
        </w:rPr>
        <w:t xml:space="preserve">מרווח של שנים-עשר חצאי טונים נקרא </w:t>
      </w:r>
      <w:r w:rsidRPr="00C43143">
        <w:rPr>
          <w:rFonts w:ascii="David" w:hAnsi="David"/>
          <w:b/>
          <w:bCs/>
          <w:rtl/>
        </w:rPr>
        <w:t>אוקטבה</w:t>
      </w:r>
      <w:r w:rsidRPr="00C43143">
        <w:rPr>
          <w:rFonts w:ascii="David" w:hAnsi="David"/>
          <w:rtl/>
        </w:rPr>
        <w:t xml:space="preserve">. בהתאם ליחס בין תדירויות גלי קול המוגדר ע"י מרווח של חצי-טון, מרווח האוקטבה מגדיר יחס של  </w:t>
      </w:r>
      <w:r w:rsidRPr="00C43143">
        <w:rPr>
          <w:rFonts w:ascii="David" w:hAnsi="David"/>
          <w:position w:val="-6"/>
        </w:rPr>
        <w:object w:dxaOrig="1160" w:dyaOrig="340">
          <v:shape id="_x0000_i1026" type="#_x0000_t75" style="width:57.5pt;height:17pt" o:ole="">
            <v:imagedata r:id="rId9" o:title=""/>
          </v:shape>
          <o:OLEObject Type="Embed" ProgID="Equation.DSMT4" ShapeID="_x0000_i1026" DrawAspect="Content" ObjectID="_1657715100" r:id="rId10"/>
        </w:object>
      </w:r>
      <w:r w:rsidRPr="00C43143">
        <w:rPr>
          <w:rFonts w:ascii="David" w:hAnsi="David"/>
          <w:rtl/>
        </w:rPr>
        <w:t xml:space="preserve">, דהיינו תדירות כל צליל היא בדיוק פי-שתיים מתדירות הצליל הנמוך ממנו באוקטבה. צלילים הנמצאים במרווח של אוקטבה בדיוק זה מזה דומים מאוד אחד לשני, עד כדי כך שבמוסיקה המערבית מסווגים אותם לאותו צליל בסיסי. בהתאם לכך, מבחינים בין סה"כ שנים-עשר צלילים בסיסיים, כך שכאשר מתייחסים לאיזשהו צליל בסיסי, הכוונה היא בעצם למשפחה או מחלקה של צלילים, המכילה איזשהו צליל בסיסי מסוים ואת כל הצלילים הנבדלים  ממנו בכפולות שלמות של אוקטבה. </w:t>
      </w:r>
    </w:p>
    <w:p w:rsidR="00771866" w:rsidRPr="00C43143" w:rsidRDefault="00771866" w:rsidP="00771866">
      <w:pPr>
        <w:ind w:left="284"/>
        <w:jc w:val="both"/>
        <w:rPr>
          <w:rFonts w:ascii="David" w:hAnsi="David"/>
          <w:rtl/>
        </w:rPr>
      </w:pPr>
      <w:r w:rsidRPr="00C43143">
        <w:rPr>
          <w:rFonts w:ascii="David" w:hAnsi="David"/>
          <w:rtl/>
        </w:rPr>
        <w:t xml:space="preserve">את שנים-עשר הצלילים הבסיסיים נהוג לסמן ע"י שבעת הסמלים לטיניים </w:t>
      </w:r>
      <w:r w:rsidRPr="00C43143">
        <w:rPr>
          <w:rFonts w:ascii="David" w:hAnsi="David"/>
        </w:rPr>
        <w:t>A, B, C, D, E, F, G</w:t>
      </w:r>
      <w:r w:rsidRPr="00C43143">
        <w:rPr>
          <w:rFonts w:ascii="David" w:hAnsi="David"/>
          <w:rtl/>
        </w:rPr>
        <w:t xml:space="preserve"> (ובהתאמה בעברית: לה, סי, דו, רה, מה, פה וסול) </w:t>
      </w:r>
      <w:r w:rsidRPr="00C43143">
        <w:rPr>
          <w:rFonts w:ascii="David" w:hAnsi="David"/>
          <w:b/>
          <w:bCs/>
          <w:rtl/>
        </w:rPr>
        <w:t>וסימני התק</w:t>
      </w:r>
      <w:r w:rsidRPr="00C43143">
        <w:rPr>
          <w:rFonts w:ascii="David" w:hAnsi="David"/>
          <w:rtl/>
        </w:rPr>
        <w:t xml:space="preserve"> '#' (</w:t>
      </w:r>
      <w:r w:rsidRPr="00C43143">
        <w:rPr>
          <w:rFonts w:ascii="David" w:hAnsi="David"/>
          <w:b/>
          <w:bCs/>
          <w:rtl/>
        </w:rPr>
        <w:t>דיאז</w:t>
      </w:r>
      <w:r w:rsidRPr="00C43143">
        <w:rPr>
          <w:rFonts w:ascii="David" w:hAnsi="David"/>
          <w:rtl/>
        </w:rPr>
        <w:t>) ו-'</w:t>
      </w:r>
      <w:r w:rsidRPr="00C43143">
        <w:rPr>
          <w:rFonts w:ascii="David" w:hAnsi="David"/>
        </w:rPr>
        <w:t>b</w:t>
      </w:r>
      <w:r w:rsidRPr="00C43143">
        <w:rPr>
          <w:rFonts w:ascii="David" w:hAnsi="David"/>
          <w:rtl/>
        </w:rPr>
        <w:t>' (</w:t>
      </w:r>
      <w:r w:rsidRPr="00C43143">
        <w:rPr>
          <w:rFonts w:ascii="David" w:hAnsi="David"/>
          <w:b/>
          <w:bCs/>
          <w:rtl/>
        </w:rPr>
        <w:t>במול</w:t>
      </w:r>
      <w:r w:rsidRPr="00C43143">
        <w:rPr>
          <w:rFonts w:ascii="David" w:hAnsi="David"/>
          <w:rtl/>
        </w:rPr>
        <w:t>) המציינים שינוי של חצי-טון כלפי מעלה או מטה, בהתאמה. לפיכך את שנים-עשר הצלילים הבסיסיים נוכל לרשום באופן שקול  כך –</w:t>
      </w:r>
    </w:p>
    <w:p w:rsidR="00771866" w:rsidRPr="00C43143" w:rsidRDefault="00771866" w:rsidP="00771866">
      <w:pPr>
        <w:pStyle w:val="a3"/>
        <w:numPr>
          <w:ilvl w:val="0"/>
          <w:numId w:val="2"/>
        </w:numPr>
        <w:bidi w:val="0"/>
        <w:jc w:val="both"/>
        <w:rPr>
          <w:rFonts w:ascii="David" w:hAnsi="David"/>
          <w:rtl/>
        </w:rPr>
      </w:pPr>
      <w:r w:rsidRPr="00C43143">
        <w:rPr>
          <w:rFonts w:ascii="David" w:hAnsi="David"/>
        </w:rPr>
        <w:t>A, A#, B, C, C#, D, D#, E, F, F#, G, G#</w:t>
      </w:r>
      <w:r w:rsidRPr="00C43143">
        <w:rPr>
          <w:rFonts w:ascii="David" w:hAnsi="David"/>
          <w:rtl/>
        </w:rPr>
        <w:t xml:space="preserve"> </w:t>
      </w:r>
    </w:p>
    <w:p w:rsidR="00771866" w:rsidRPr="00C43143" w:rsidRDefault="00771866" w:rsidP="00771866">
      <w:pPr>
        <w:ind w:left="284"/>
        <w:jc w:val="both"/>
        <w:rPr>
          <w:rFonts w:ascii="David" w:hAnsi="David"/>
          <w:rtl/>
        </w:rPr>
      </w:pPr>
      <w:r w:rsidRPr="00C43143">
        <w:rPr>
          <w:rFonts w:ascii="David" w:hAnsi="David"/>
          <w:rtl/>
        </w:rPr>
        <w:t xml:space="preserve">או כך – </w:t>
      </w:r>
    </w:p>
    <w:p w:rsidR="00771866" w:rsidRPr="00C43143" w:rsidRDefault="00771866" w:rsidP="00771866">
      <w:pPr>
        <w:pStyle w:val="a3"/>
        <w:numPr>
          <w:ilvl w:val="0"/>
          <w:numId w:val="2"/>
        </w:numPr>
        <w:bidi w:val="0"/>
        <w:jc w:val="both"/>
        <w:rPr>
          <w:rFonts w:ascii="David" w:hAnsi="David"/>
        </w:rPr>
      </w:pPr>
      <w:r w:rsidRPr="00C43143">
        <w:rPr>
          <w:rFonts w:ascii="David" w:hAnsi="David"/>
        </w:rPr>
        <w:t xml:space="preserve">A, Bb, B, C, </w:t>
      </w:r>
      <w:proofErr w:type="spellStart"/>
      <w:r w:rsidRPr="00C43143">
        <w:rPr>
          <w:rFonts w:ascii="David" w:hAnsi="David"/>
        </w:rPr>
        <w:t>Db</w:t>
      </w:r>
      <w:proofErr w:type="spellEnd"/>
      <w:r w:rsidRPr="00C43143">
        <w:rPr>
          <w:rFonts w:ascii="David" w:hAnsi="David"/>
        </w:rPr>
        <w:t xml:space="preserve">, D, </w:t>
      </w:r>
      <w:proofErr w:type="spellStart"/>
      <w:r w:rsidRPr="00C43143">
        <w:rPr>
          <w:rFonts w:ascii="David" w:hAnsi="David"/>
        </w:rPr>
        <w:t>Eb</w:t>
      </w:r>
      <w:proofErr w:type="spellEnd"/>
      <w:r w:rsidRPr="00C43143">
        <w:rPr>
          <w:rFonts w:ascii="David" w:hAnsi="David"/>
        </w:rPr>
        <w:t xml:space="preserve">, E, F, Gb, G, </w:t>
      </w:r>
      <w:proofErr w:type="spellStart"/>
      <w:r w:rsidRPr="00C43143">
        <w:rPr>
          <w:rFonts w:ascii="David" w:hAnsi="David"/>
        </w:rPr>
        <w:t>Ab</w:t>
      </w:r>
      <w:proofErr w:type="spellEnd"/>
    </w:p>
    <w:p w:rsidR="00771866" w:rsidRPr="00C43143" w:rsidRDefault="00771866" w:rsidP="00771866">
      <w:pPr>
        <w:ind w:left="284"/>
        <w:jc w:val="both"/>
        <w:rPr>
          <w:rFonts w:ascii="David" w:hAnsi="David"/>
          <w:rtl/>
        </w:rPr>
      </w:pPr>
      <w:r w:rsidRPr="00C43143">
        <w:rPr>
          <w:rFonts w:ascii="David" w:hAnsi="David"/>
          <w:rtl/>
        </w:rPr>
        <w:t xml:space="preserve">(ובהתאמה: לה, לה-דיאז, סי, דו, דו-דיאז,...,סול-דיאז </w:t>
      </w:r>
      <w:r w:rsidRPr="00C43143">
        <w:rPr>
          <w:rFonts w:ascii="David" w:hAnsi="David"/>
          <w:i/>
          <w:iCs/>
          <w:rtl/>
        </w:rPr>
        <w:t>או</w:t>
      </w:r>
      <w:r w:rsidRPr="00C43143">
        <w:rPr>
          <w:rFonts w:ascii="David" w:hAnsi="David"/>
          <w:rtl/>
        </w:rPr>
        <w:t xml:space="preserve"> לה,</w:t>
      </w:r>
      <w:r w:rsidRPr="00C43143">
        <w:rPr>
          <w:rFonts w:ascii="David" w:hAnsi="David"/>
        </w:rPr>
        <w:t xml:space="preserve"> </w:t>
      </w:r>
      <w:r w:rsidRPr="00C43143">
        <w:rPr>
          <w:rFonts w:ascii="David" w:hAnsi="David"/>
          <w:rtl/>
        </w:rPr>
        <w:t>סי-במול, סי, דו, רה-במול,...,לה-במול). בכדי להתייחס לאיזשהו גובה (תדר) קונקרטי של  אחד משנים-עשר הצלילים הבסיסיים, מה שמכונה גם גובהו האבסולוטי, נוהגים לחלק את כלל הצלילים לסדרות של שנים-עשר צלילים עוקבים, החל מ-</w:t>
      </w:r>
      <w:r w:rsidRPr="00C43143">
        <w:rPr>
          <w:rFonts w:ascii="David" w:hAnsi="David"/>
        </w:rPr>
        <w:t xml:space="preserve"> C</w:t>
      </w:r>
      <w:r w:rsidRPr="00C43143">
        <w:rPr>
          <w:rFonts w:ascii="David" w:hAnsi="David"/>
          <w:rtl/>
        </w:rPr>
        <w:t>(דו), ולסדרן על-פי מיקומן היחסי מנמוך לגבוה: בפסנתר סטנדרטי בעל שמונים ושמונה קלידים, סדרת שנים-עשר הצלילים המופקים ע"י שנים-עשר הקלידים התואמים המתחילים מקליד ה-</w:t>
      </w:r>
      <w:r w:rsidRPr="00C43143">
        <w:rPr>
          <w:rFonts w:ascii="David" w:hAnsi="David"/>
        </w:rPr>
        <w:t>C</w:t>
      </w:r>
      <w:r w:rsidRPr="00C43143">
        <w:rPr>
          <w:rFonts w:ascii="David" w:hAnsi="David"/>
          <w:rtl/>
        </w:rPr>
        <w:t xml:space="preserve"> השמאלי ביותר במקלדת (שהוא גם ה-</w:t>
      </w:r>
      <w:r w:rsidRPr="00C43143">
        <w:rPr>
          <w:rFonts w:ascii="David" w:hAnsi="David"/>
        </w:rPr>
        <w:t>C</w:t>
      </w:r>
      <w:r w:rsidRPr="00C43143">
        <w:rPr>
          <w:rFonts w:ascii="David" w:hAnsi="David"/>
          <w:rtl/>
        </w:rPr>
        <w:t xml:space="preserve"> הנמוך ביותר במקלדת) נקראת האוקטבה הראשונה. הסדרה העוקבת לה מימין נקראת האוקטבה השנייה, וכן הלאה. באופן זה, ניתן לסמן גובה-צליל קונקרטי ע"י ציון הסמל המייצג את הצליל הבסיסי, סימן התק במידה ונדרש, ואינדקס המציין את מספר האוקטבה הרלוונטי, למשל – </w:t>
      </w:r>
      <w:r w:rsidRPr="00C43143">
        <w:rPr>
          <w:rFonts w:ascii="David" w:hAnsi="David"/>
        </w:rPr>
        <w:t>C1</w:t>
      </w:r>
      <w:r w:rsidRPr="00C43143">
        <w:rPr>
          <w:rFonts w:ascii="David" w:hAnsi="David"/>
          <w:rtl/>
        </w:rPr>
        <w:t xml:space="preserve"> מייצג את גובה הצליל </w:t>
      </w:r>
      <w:r w:rsidRPr="00C43143">
        <w:rPr>
          <w:rFonts w:ascii="David" w:hAnsi="David"/>
        </w:rPr>
        <w:t>C</w:t>
      </w:r>
      <w:r w:rsidRPr="00C43143">
        <w:rPr>
          <w:rFonts w:ascii="David" w:hAnsi="David"/>
          <w:rtl/>
        </w:rPr>
        <w:t xml:space="preserve"> הנמוך ביותר במקלדת הפסנתר, </w:t>
      </w:r>
      <w:r w:rsidRPr="00C43143">
        <w:rPr>
          <w:rFonts w:ascii="David" w:hAnsi="David"/>
        </w:rPr>
        <w:t>C2</w:t>
      </w:r>
      <w:r w:rsidRPr="00C43143">
        <w:rPr>
          <w:rFonts w:ascii="David" w:hAnsi="David"/>
          <w:rtl/>
        </w:rPr>
        <w:t xml:space="preserve"> את גובה הצליל </w:t>
      </w:r>
      <w:r w:rsidRPr="00C43143">
        <w:rPr>
          <w:rFonts w:ascii="David" w:hAnsi="David"/>
        </w:rPr>
        <w:t xml:space="preserve">C </w:t>
      </w:r>
      <w:r w:rsidRPr="00C43143">
        <w:rPr>
          <w:rFonts w:ascii="David" w:hAnsi="David"/>
          <w:rtl/>
        </w:rPr>
        <w:t xml:space="preserve">  הגבוה ממנו באוקטבה אחת וכן הלאה, להלן המחשה של תוויות שמות/סמלי הצלילים המופקים ע"י 20 הקלידים הראשונים של מקלדת פסנתר סטנדרטית בעלת 88 קלידים – </w:t>
      </w:r>
    </w:p>
    <w:p w:rsidR="00771866" w:rsidRPr="00C43143" w:rsidRDefault="00771866" w:rsidP="00771866">
      <w:pPr>
        <w:jc w:val="both"/>
        <w:rPr>
          <w:rFonts w:ascii="David" w:hAnsi="David"/>
          <w:rtl/>
        </w:rPr>
      </w:pPr>
      <w:r w:rsidRPr="00C43143">
        <w:rPr>
          <w:rFonts w:ascii="David" w:hAnsi="David"/>
          <w:noProof/>
        </w:rPr>
        <w:drawing>
          <wp:inline distT="0" distB="0" distL="0" distR="0" wp14:anchorId="14137049" wp14:editId="48C756D8">
            <wp:extent cx="5278120" cy="2216150"/>
            <wp:effectExtent l="114300" t="0" r="113030" b="1270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2216150"/>
                    </a:xfrm>
                    <a:prstGeom prst="rect">
                      <a:avLst/>
                    </a:prstGeom>
                    <a:noFill/>
                    <a:ln>
                      <a:noFill/>
                    </a:ln>
                    <a:scene3d>
                      <a:camera prst="perspectiveAbove"/>
                      <a:lightRig rig="threePt" dir="t"/>
                    </a:scene3d>
                  </pic:spPr>
                </pic:pic>
              </a:graphicData>
            </a:graphic>
          </wp:inline>
        </w:drawing>
      </w:r>
    </w:p>
    <w:p w:rsidR="00771866" w:rsidRPr="00C43143" w:rsidRDefault="00771866" w:rsidP="00771866">
      <w:pPr>
        <w:ind w:left="360"/>
        <w:jc w:val="both"/>
        <w:rPr>
          <w:rFonts w:ascii="David" w:hAnsi="David"/>
          <w:rtl/>
        </w:rPr>
      </w:pPr>
      <w:r w:rsidRPr="00C43143">
        <w:rPr>
          <w:rFonts w:ascii="David" w:hAnsi="David"/>
          <w:b/>
          <w:bCs/>
          <w:rtl/>
        </w:rPr>
        <w:t xml:space="preserve">מנעד </w:t>
      </w:r>
      <w:r w:rsidRPr="00C43143">
        <w:rPr>
          <w:rFonts w:ascii="David" w:hAnsi="David"/>
          <w:rtl/>
        </w:rPr>
        <w:t xml:space="preserve">הוא היקף של איזשהו טווח של צלילים. לפיכך מנעד של מקלדת פסנתר סטנדרטית הוא 88 חצאי טון. </w:t>
      </w:r>
    </w:p>
    <w:p w:rsidR="00771866" w:rsidRPr="00C43143" w:rsidRDefault="00771866" w:rsidP="00771866">
      <w:pPr>
        <w:pStyle w:val="a3"/>
        <w:numPr>
          <w:ilvl w:val="0"/>
          <w:numId w:val="3"/>
        </w:numPr>
        <w:jc w:val="both"/>
        <w:rPr>
          <w:rFonts w:ascii="David" w:hAnsi="David"/>
          <w:b/>
          <w:bCs/>
          <w:u w:val="single"/>
          <w:rtl/>
        </w:rPr>
      </w:pPr>
      <w:r w:rsidRPr="00C43143">
        <w:rPr>
          <w:rFonts w:ascii="David" w:hAnsi="David"/>
          <w:b/>
          <w:bCs/>
          <w:u w:val="single"/>
          <w:rtl/>
        </w:rPr>
        <w:lastRenderedPageBreak/>
        <w:t>תווים</w:t>
      </w:r>
    </w:p>
    <w:p w:rsidR="00771866" w:rsidRPr="00C43143" w:rsidRDefault="00771866" w:rsidP="00771866">
      <w:pPr>
        <w:ind w:left="284"/>
        <w:jc w:val="both"/>
        <w:rPr>
          <w:rFonts w:ascii="David" w:hAnsi="David"/>
          <w:rtl/>
        </w:rPr>
      </w:pPr>
      <w:r w:rsidRPr="00C43143">
        <w:rPr>
          <w:rFonts w:ascii="David" w:hAnsi="David"/>
          <w:rtl/>
        </w:rPr>
        <w:t xml:space="preserve">בכדי לייצג ו/או לתאר יצירה מוסיקלית באופן גראפי על הכתב/דפוס, משתמשים בתווים. </w:t>
      </w:r>
      <w:r w:rsidRPr="00C43143">
        <w:rPr>
          <w:rFonts w:ascii="David" w:hAnsi="David"/>
          <w:b/>
          <w:bCs/>
          <w:rtl/>
        </w:rPr>
        <w:t>תווים</w:t>
      </w:r>
      <w:r w:rsidRPr="00C43143">
        <w:rPr>
          <w:rFonts w:ascii="David" w:hAnsi="David"/>
          <w:rtl/>
        </w:rPr>
        <w:t xml:space="preserve"> הם סמלים המתארים גובה צליל או הפסקה (שקט) וכן את משך שהיית הצליל/הפסקה, אשר נקרא גם הערך הריתמי של הצליל/הפסקה. ברישום ניתן לציין גם תכונות הקשורות לצורה המיועדת להפקת הצליל, כמו דרגות דינאמיקה (חוזק/הדגשה) ותחושת מהירות/זרימה הכללית. התווים עצמם רשומים על גבי </w:t>
      </w:r>
      <w:r w:rsidRPr="00C43143">
        <w:rPr>
          <w:rFonts w:ascii="David" w:hAnsi="David"/>
          <w:b/>
          <w:bCs/>
          <w:rtl/>
        </w:rPr>
        <w:t>חמשה</w:t>
      </w:r>
      <w:r w:rsidRPr="00C43143">
        <w:rPr>
          <w:rFonts w:ascii="David" w:hAnsi="David"/>
          <w:rtl/>
        </w:rPr>
        <w:t xml:space="preserve">, מערכת של חמישה קווים אופקיים מקבילים. </w:t>
      </w:r>
    </w:p>
    <w:p w:rsidR="00771866" w:rsidRPr="00C43143" w:rsidRDefault="00771866" w:rsidP="00771866">
      <w:pPr>
        <w:ind w:left="284"/>
        <w:jc w:val="both"/>
        <w:rPr>
          <w:rFonts w:ascii="David" w:hAnsi="David"/>
          <w:rtl/>
        </w:rPr>
      </w:pPr>
    </w:p>
    <w:p w:rsidR="00771866" w:rsidRPr="00C43143" w:rsidRDefault="00771866" w:rsidP="00771866">
      <w:pPr>
        <w:pStyle w:val="a3"/>
        <w:numPr>
          <w:ilvl w:val="1"/>
          <w:numId w:val="3"/>
        </w:numPr>
        <w:jc w:val="both"/>
        <w:rPr>
          <w:rFonts w:ascii="David" w:hAnsi="David"/>
          <w:u w:val="single"/>
          <w:rtl/>
        </w:rPr>
      </w:pPr>
      <w:r w:rsidRPr="00C43143">
        <w:rPr>
          <w:rFonts w:ascii="David" w:hAnsi="David"/>
          <w:b/>
          <w:bCs/>
          <w:u w:val="single"/>
          <w:rtl/>
        </w:rPr>
        <w:t>גובה צליל</w:t>
      </w:r>
    </w:p>
    <w:p w:rsidR="00771866" w:rsidRPr="00C43143" w:rsidRDefault="00771866" w:rsidP="00771866">
      <w:pPr>
        <w:ind w:left="720"/>
        <w:jc w:val="both"/>
        <w:rPr>
          <w:rFonts w:ascii="David" w:hAnsi="David"/>
          <w:rtl/>
        </w:rPr>
      </w:pPr>
      <w:r w:rsidRPr="00C43143">
        <w:rPr>
          <w:rFonts w:ascii="David" w:hAnsi="David"/>
          <w:rtl/>
        </w:rPr>
        <w:t>גובה צליל מיוצג ע"י גובה יחסי תואם בחמשה ביחס למפתח מסוים, עם סימן התק מתאים ע"פ הצורך. להלן דוגמה של רישום הצלילים החל מ-</w:t>
      </w:r>
      <w:r w:rsidRPr="00C43143">
        <w:rPr>
          <w:rFonts w:ascii="David" w:hAnsi="David"/>
        </w:rPr>
        <w:t>A3</w:t>
      </w:r>
      <w:r w:rsidRPr="00C43143">
        <w:rPr>
          <w:rFonts w:ascii="David" w:hAnsi="David"/>
          <w:rtl/>
        </w:rPr>
        <w:t xml:space="preserve"> (לה באוקטבה השלישית) ועד ל-</w:t>
      </w:r>
      <w:r w:rsidRPr="00C43143">
        <w:rPr>
          <w:rFonts w:ascii="David" w:hAnsi="David"/>
        </w:rPr>
        <w:t>G#5</w:t>
      </w:r>
      <w:r w:rsidRPr="00C43143">
        <w:rPr>
          <w:rFonts w:ascii="David" w:hAnsi="David"/>
          <w:rtl/>
        </w:rPr>
        <w:t xml:space="preserve"> (סול דיאז באוקטבה החמישית) על חמשה לפי מפתח סול</w:t>
      </w:r>
      <w:r w:rsidRPr="00C43143">
        <w:rPr>
          <w:rStyle w:val="a6"/>
          <w:rFonts w:ascii="David" w:hAnsi="David"/>
          <w:rtl/>
        </w:rPr>
        <w:footnoteReference w:id="1"/>
      </w:r>
      <w:r w:rsidRPr="00C43143">
        <w:rPr>
          <w:rFonts w:ascii="David" w:hAnsi="David"/>
          <w:rtl/>
        </w:rPr>
        <w:t>:</w:t>
      </w:r>
    </w:p>
    <w:p w:rsidR="00771866" w:rsidRPr="00C43143" w:rsidRDefault="00771866" w:rsidP="00771866">
      <w:pPr>
        <w:ind w:left="284" w:firstLine="436"/>
        <w:jc w:val="both"/>
        <w:rPr>
          <w:rFonts w:ascii="David" w:hAnsi="David"/>
          <w:rtl/>
        </w:rPr>
      </w:pPr>
      <w:r w:rsidRPr="00C43143">
        <w:rPr>
          <w:rFonts w:ascii="David" w:hAnsi="David"/>
          <w:noProof/>
          <w:rtl/>
        </w:rPr>
        <w:drawing>
          <wp:inline distT="0" distB="0" distL="0" distR="0" wp14:anchorId="225B6A65" wp14:editId="280D7AF0">
            <wp:extent cx="4801822" cy="1328673"/>
            <wp:effectExtent l="95250" t="95250" r="113665" b="42418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6750" cy="1330037"/>
                    </a:xfrm>
                    <a:prstGeom prst="roundRect">
                      <a:avLst>
                        <a:gd name="adj" fmla="val 4167"/>
                      </a:avLst>
                    </a:prstGeom>
                    <a:solidFill>
                      <a:srgbClr val="FFFFFF"/>
                    </a:solidFill>
                    <a:ln w="76200" cap="sq">
                      <a:noFill/>
                      <a:miter lim="800000"/>
                    </a:ln>
                    <a:effectLst>
                      <a:glow rad="63500">
                        <a:schemeClr val="accent6">
                          <a:satMod val="175000"/>
                          <a:alpha val="40000"/>
                        </a:schemeClr>
                      </a:glow>
                      <a:reflection blurRad="12700" stA="33000" endPos="28000" dist="5000" dir="5400000" sy="-100000" algn="bl" rotWithShape="0"/>
                    </a:effectLst>
                    <a:scene3d>
                      <a:camera prst="orthographicFront">
                        <a:rot lat="0" lon="0" rev="0"/>
                      </a:camera>
                      <a:lightRig rig="contrasting" dir="t">
                        <a:rot lat="0" lon="0" rev="7800000"/>
                      </a:lightRig>
                    </a:scene3d>
                    <a:sp3d>
                      <a:bevelT w="139700" h="139700"/>
                    </a:sp3d>
                  </pic:spPr>
                </pic:pic>
              </a:graphicData>
            </a:graphic>
          </wp:inline>
        </w:drawing>
      </w:r>
    </w:p>
    <w:p w:rsidR="00771866" w:rsidRPr="00C43143" w:rsidRDefault="00771866" w:rsidP="00771866">
      <w:pPr>
        <w:pStyle w:val="a3"/>
        <w:numPr>
          <w:ilvl w:val="1"/>
          <w:numId w:val="3"/>
        </w:numPr>
        <w:jc w:val="both"/>
        <w:rPr>
          <w:rFonts w:ascii="David" w:hAnsi="David"/>
          <w:u w:val="single"/>
          <w:rtl/>
        </w:rPr>
      </w:pPr>
      <w:r w:rsidRPr="00C43143">
        <w:rPr>
          <w:rFonts w:ascii="David" w:hAnsi="David"/>
          <w:b/>
          <w:bCs/>
          <w:u w:val="single"/>
          <w:rtl/>
        </w:rPr>
        <w:t xml:space="preserve">תיבות, קצב, משקל וערך ריתמי (משך שהייה קצבי) </w:t>
      </w:r>
    </w:p>
    <w:p w:rsidR="00771866" w:rsidRPr="00C43143" w:rsidRDefault="00771866" w:rsidP="00771866">
      <w:pPr>
        <w:ind w:left="720"/>
        <w:jc w:val="both"/>
        <w:rPr>
          <w:rFonts w:ascii="David" w:hAnsi="David"/>
          <w:rtl/>
        </w:rPr>
      </w:pPr>
      <w:r w:rsidRPr="00C43143">
        <w:rPr>
          <w:rFonts w:ascii="David" w:hAnsi="David"/>
          <w:rtl/>
        </w:rPr>
        <w:t xml:space="preserve">התווים בחמשה מחולקים </w:t>
      </w:r>
      <w:r w:rsidRPr="00C43143">
        <w:rPr>
          <w:rFonts w:ascii="David" w:hAnsi="David"/>
          <w:b/>
          <w:bCs/>
          <w:rtl/>
        </w:rPr>
        <w:t>לתיבות</w:t>
      </w:r>
      <w:r w:rsidRPr="00C43143">
        <w:rPr>
          <w:rFonts w:ascii="David" w:hAnsi="David"/>
          <w:rtl/>
        </w:rPr>
        <w:t xml:space="preserve">, לרוב באורך קבוע, המהוות יחידות לוגיות המפרידות בין קבוצות של תווים. ניתן למספר את התיבות ולעטוף אותן בסימני חזרה והוראות בקרה המנחות לחזור עליהן ו/או לעבור למקטע מבוקש (באופן דומה להוראות מחשב כמו </w:t>
      </w:r>
      <w:r w:rsidRPr="00C43143">
        <w:rPr>
          <w:rFonts w:ascii="David" w:hAnsi="David"/>
        </w:rPr>
        <w:t>repeat</w:t>
      </w:r>
      <w:r w:rsidRPr="00C43143">
        <w:rPr>
          <w:rFonts w:ascii="David" w:hAnsi="David"/>
          <w:rtl/>
        </w:rPr>
        <w:t xml:space="preserve"> ו-</w:t>
      </w:r>
      <w:proofErr w:type="spellStart"/>
      <w:r w:rsidRPr="00C43143">
        <w:rPr>
          <w:rFonts w:ascii="David" w:hAnsi="David"/>
        </w:rPr>
        <w:t>goto</w:t>
      </w:r>
      <w:proofErr w:type="spellEnd"/>
      <w:r w:rsidRPr="00C43143">
        <w:rPr>
          <w:rFonts w:ascii="David" w:hAnsi="David"/>
          <w:rtl/>
        </w:rPr>
        <w:t xml:space="preserve">). </w:t>
      </w:r>
    </w:p>
    <w:p w:rsidR="00771866" w:rsidRPr="00C43143" w:rsidRDefault="00771866" w:rsidP="00771866">
      <w:pPr>
        <w:ind w:left="720"/>
        <w:jc w:val="both"/>
        <w:rPr>
          <w:rFonts w:ascii="David" w:hAnsi="David"/>
          <w:rtl/>
        </w:rPr>
      </w:pPr>
      <w:r w:rsidRPr="00C43143">
        <w:rPr>
          <w:rFonts w:ascii="David" w:hAnsi="David"/>
          <w:rtl/>
        </w:rPr>
        <w:t xml:space="preserve">יחידת הזמן הבסיסית במוזיקה היא </w:t>
      </w:r>
      <w:r w:rsidRPr="00C43143">
        <w:rPr>
          <w:rFonts w:ascii="David" w:hAnsi="David"/>
          <w:b/>
          <w:bCs/>
          <w:rtl/>
        </w:rPr>
        <w:t>פעימה</w:t>
      </w:r>
      <w:r w:rsidRPr="00C43143">
        <w:rPr>
          <w:rFonts w:ascii="David" w:hAnsi="David"/>
          <w:rtl/>
        </w:rPr>
        <w:t xml:space="preserve">. קצב הפעימות מתואר בד"כ ע"י ציון ערך  </w:t>
      </w:r>
      <w:r w:rsidRPr="00C43143">
        <w:rPr>
          <w:rFonts w:ascii="David" w:hAnsi="David"/>
          <w:b/>
          <w:bCs/>
          <w:sz w:val="20"/>
          <w:szCs w:val="20"/>
        </w:rPr>
        <w:t>BPM</w:t>
      </w:r>
      <w:r w:rsidRPr="00C43143">
        <w:rPr>
          <w:rStyle w:val="a6"/>
          <w:rFonts w:ascii="David" w:hAnsi="David"/>
          <w:rtl/>
        </w:rPr>
        <w:footnoteReference w:id="2"/>
      </w:r>
      <w:r w:rsidRPr="00C43143">
        <w:rPr>
          <w:rFonts w:ascii="David" w:hAnsi="David"/>
          <w:rtl/>
        </w:rPr>
        <w:t xml:space="preserve">, המציין את מספר הפעימות שיש בדקה אחת. למשל, </w:t>
      </w:r>
      <w:r w:rsidRPr="00C43143">
        <w:rPr>
          <w:rFonts w:ascii="David" w:hAnsi="David"/>
          <w:sz w:val="20"/>
          <w:szCs w:val="20"/>
        </w:rPr>
        <w:t>BPM</w:t>
      </w:r>
      <w:r w:rsidRPr="00C43143">
        <w:rPr>
          <w:rFonts w:ascii="David" w:hAnsi="David"/>
          <w:sz w:val="20"/>
          <w:szCs w:val="20"/>
          <w:rtl/>
        </w:rPr>
        <w:t xml:space="preserve"> </w:t>
      </w:r>
      <w:r w:rsidRPr="00C43143">
        <w:rPr>
          <w:rFonts w:ascii="David" w:hAnsi="David"/>
          <w:rtl/>
        </w:rPr>
        <w:t xml:space="preserve">של 120 מציין כי הקצב הוא שתי פעימות בכל שנייה. </w:t>
      </w:r>
    </w:p>
    <w:p w:rsidR="00771866" w:rsidRPr="00C43143" w:rsidRDefault="00771866" w:rsidP="00771866">
      <w:pPr>
        <w:ind w:left="720"/>
        <w:jc w:val="both"/>
        <w:rPr>
          <w:rFonts w:ascii="David" w:hAnsi="David"/>
          <w:rtl/>
        </w:rPr>
      </w:pPr>
      <w:r w:rsidRPr="00C43143">
        <w:rPr>
          <w:rFonts w:ascii="David" w:hAnsi="David"/>
          <w:rtl/>
        </w:rPr>
        <w:t xml:space="preserve">לכל יצירה מגדירים </w:t>
      </w:r>
      <w:r w:rsidRPr="00C43143">
        <w:rPr>
          <w:rFonts w:ascii="David" w:hAnsi="David"/>
          <w:b/>
          <w:bCs/>
          <w:rtl/>
        </w:rPr>
        <w:t>משקל</w:t>
      </w:r>
      <w:r w:rsidRPr="00C43143">
        <w:rPr>
          <w:rFonts w:ascii="David" w:hAnsi="David"/>
          <w:rtl/>
        </w:rPr>
        <w:t xml:space="preserve"> קצבי ע"י שבר </w:t>
      </w:r>
      <w:r w:rsidRPr="00C43143">
        <w:rPr>
          <w:rFonts w:ascii="David" w:hAnsi="David"/>
          <w:position w:val="-14"/>
        </w:rPr>
        <w:object w:dxaOrig="180" w:dyaOrig="380">
          <v:shape id="_x0000_i1027" type="#_x0000_t75" style="width:9pt;height:19pt" o:ole="">
            <v:imagedata r:id="rId13" o:title=""/>
          </v:shape>
          <o:OLEObject Type="Embed" ProgID="Equation.DSMT4" ShapeID="_x0000_i1027" DrawAspect="Content" ObjectID="_1657715101" r:id="rId14"/>
        </w:object>
      </w:r>
      <w:r w:rsidRPr="00C43143">
        <w:rPr>
          <w:rFonts w:ascii="David" w:hAnsi="David"/>
          <w:rtl/>
        </w:rPr>
        <w:t xml:space="preserve">: המכנה </w:t>
      </w:r>
      <w:r w:rsidRPr="00C43143">
        <w:rPr>
          <w:rFonts w:ascii="David" w:hAnsi="David"/>
          <w:position w:val="-10"/>
        </w:rPr>
        <w:object w:dxaOrig="180" w:dyaOrig="240">
          <v:shape id="_x0000_i1028" type="#_x0000_t75" style="width:9pt;height:12pt" o:ole="">
            <v:imagedata r:id="rId15" o:title=""/>
          </v:shape>
          <o:OLEObject Type="Embed" ProgID="Equation.DSMT4" ShapeID="_x0000_i1028" DrawAspect="Content" ObjectID="_1657715102" r:id="rId16"/>
        </w:object>
      </w:r>
      <w:r w:rsidRPr="00C43143">
        <w:rPr>
          <w:rFonts w:ascii="David" w:hAnsi="David"/>
          <w:rtl/>
        </w:rPr>
        <w:t xml:space="preserve"> מציין את מכנה יחידת הזמן הבסיסית המייצגת פעימה בודדת שהיא </w:t>
      </w:r>
      <w:r w:rsidRPr="00C43143">
        <w:rPr>
          <w:rFonts w:ascii="David" w:hAnsi="David"/>
          <w:position w:val="-14"/>
        </w:rPr>
        <w:object w:dxaOrig="180" w:dyaOrig="360">
          <v:shape id="_x0000_i1029" type="#_x0000_t75" style="width:9pt;height:18pt" o:ole="">
            <v:imagedata r:id="rId17" o:title=""/>
          </v:shape>
          <o:OLEObject Type="Embed" ProgID="Equation.DSMT4" ShapeID="_x0000_i1029" DrawAspect="Content" ObjectID="_1657715103" r:id="rId18"/>
        </w:object>
      </w:r>
      <w:r w:rsidRPr="00C43143">
        <w:rPr>
          <w:rFonts w:ascii="David" w:hAnsi="David"/>
          <w:rtl/>
        </w:rPr>
        <w:t xml:space="preserve">, והמונה  </w:t>
      </w:r>
      <w:r w:rsidRPr="00C43143">
        <w:rPr>
          <w:rFonts w:ascii="David" w:hAnsi="David"/>
          <w:position w:val="-10"/>
        </w:rPr>
        <w:object w:dxaOrig="200" w:dyaOrig="240">
          <v:shape id="_x0000_i1030" type="#_x0000_t75" style="width:10pt;height:12pt" o:ole="">
            <v:imagedata r:id="rId19" o:title=""/>
          </v:shape>
          <o:OLEObject Type="Embed" ProgID="Equation.DSMT4" ShapeID="_x0000_i1030" DrawAspect="Content" ObjectID="_1657715104" r:id="rId20"/>
        </w:object>
      </w:r>
      <w:r w:rsidRPr="00C43143">
        <w:rPr>
          <w:rFonts w:ascii="David" w:hAnsi="David"/>
          <w:rtl/>
        </w:rPr>
        <w:t xml:space="preserve"> מציין כמה יחידות זמן בסיסיות כאלו יש בתיבה.  למשל, המשקל הנפוץ </w:t>
      </w:r>
      <w:r w:rsidRPr="00C43143">
        <w:rPr>
          <w:rFonts w:ascii="David" w:hAnsi="David"/>
          <w:position w:val="-12"/>
        </w:rPr>
        <w:object w:dxaOrig="180" w:dyaOrig="340">
          <v:shape id="_x0000_i1031" type="#_x0000_t75" style="width:9pt;height:17pt" o:ole="">
            <v:imagedata r:id="rId21" o:title=""/>
          </v:shape>
          <o:OLEObject Type="Embed" ProgID="Equation.DSMT4" ShapeID="_x0000_i1031" DrawAspect="Content" ObjectID="_1657715105" r:id="rId22"/>
        </w:object>
      </w:r>
      <w:r w:rsidRPr="00C43143">
        <w:rPr>
          <w:rFonts w:ascii="David" w:hAnsi="David"/>
          <w:rtl/>
        </w:rPr>
        <w:t xml:space="preserve"> מציין שיחידת הזמן הבסיסית לפעימה היא רבע (ערך המכנה הוא ארבע) וכן שיש בכל תיבה ארבעה רבעים (ערך המונה הוא ארבע).  </w:t>
      </w:r>
    </w:p>
    <w:p w:rsidR="00771866" w:rsidRPr="00C43143" w:rsidRDefault="00771866" w:rsidP="00771866">
      <w:pPr>
        <w:ind w:left="720"/>
        <w:jc w:val="both"/>
        <w:rPr>
          <w:rFonts w:ascii="David" w:hAnsi="David"/>
          <w:rtl/>
        </w:rPr>
      </w:pPr>
      <w:r w:rsidRPr="00C43143">
        <w:rPr>
          <w:rFonts w:ascii="David" w:hAnsi="David"/>
          <w:rtl/>
        </w:rPr>
        <w:t xml:space="preserve">בכדי לציין את </w:t>
      </w:r>
      <w:r w:rsidRPr="00C43143">
        <w:rPr>
          <w:rFonts w:ascii="David" w:hAnsi="David"/>
          <w:b/>
          <w:bCs/>
          <w:rtl/>
        </w:rPr>
        <w:t xml:space="preserve">משך השהייה </w:t>
      </w:r>
      <w:r w:rsidRPr="00C43143">
        <w:rPr>
          <w:rFonts w:ascii="David" w:hAnsi="David"/>
          <w:rtl/>
        </w:rPr>
        <w:t xml:space="preserve">של תו נתון, מה שנקרא </w:t>
      </w:r>
      <w:r w:rsidRPr="00C43143">
        <w:rPr>
          <w:rFonts w:ascii="David" w:hAnsi="David"/>
          <w:b/>
          <w:bCs/>
          <w:rtl/>
        </w:rPr>
        <w:t>ערכו</w:t>
      </w:r>
      <w:r w:rsidRPr="00C43143">
        <w:rPr>
          <w:rFonts w:ascii="David" w:hAnsi="David"/>
          <w:rtl/>
        </w:rPr>
        <w:t xml:space="preserve"> </w:t>
      </w:r>
      <w:r w:rsidRPr="00C43143">
        <w:rPr>
          <w:rFonts w:ascii="David" w:hAnsi="David"/>
          <w:b/>
          <w:bCs/>
          <w:rtl/>
        </w:rPr>
        <w:t>הריתמי</w:t>
      </w:r>
      <w:r w:rsidRPr="00C43143">
        <w:rPr>
          <w:rFonts w:ascii="David" w:hAnsi="David"/>
          <w:rtl/>
        </w:rPr>
        <w:t xml:space="preserve">, מתאימים לתו סימון קצבי המתאים לאורך השהייה שלו ביחס לתיבה שלמה. למשל, במשקל של </w:t>
      </w:r>
      <w:r w:rsidRPr="00C43143">
        <w:rPr>
          <w:rFonts w:ascii="David" w:hAnsi="David"/>
          <w:position w:val="-12"/>
        </w:rPr>
        <w:object w:dxaOrig="180" w:dyaOrig="340">
          <v:shape id="_x0000_i1032" type="#_x0000_t75" style="width:9pt;height:17pt" o:ole="">
            <v:imagedata r:id="rId21" o:title=""/>
          </v:shape>
          <o:OLEObject Type="Embed" ProgID="Equation.DSMT4" ShapeID="_x0000_i1032" DrawAspect="Content" ObjectID="_1657715106" r:id="rId23"/>
        </w:object>
      </w:r>
      <w:r w:rsidRPr="00C43143">
        <w:rPr>
          <w:rFonts w:ascii="David" w:hAnsi="David"/>
          <w:rtl/>
        </w:rPr>
        <w:t xml:space="preserve">, תו עם ערך ריתמי </w:t>
      </w:r>
      <w:r w:rsidRPr="00C43143">
        <w:rPr>
          <w:rFonts w:ascii="David" w:hAnsi="David"/>
          <w:b/>
          <w:bCs/>
          <w:rtl/>
        </w:rPr>
        <w:t>שלם</w:t>
      </w:r>
      <w:r w:rsidRPr="00C43143">
        <w:rPr>
          <w:rFonts w:ascii="David" w:hAnsi="David"/>
          <w:rtl/>
        </w:rPr>
        <w:t xml:space="preserve"> מתמשך לאורך תיבה אחת שלמה (ארבעה פעימות), </w:t>
      </w:r>
      <w:r w:rsidRPr="00C43143">
        <w:rPr>
          <w:rFonts w:ascii="David" w:hAnsi="David"/>
          <w:b/>
          <w:bCs/>
          <w:rtl/>
        </w:rPr>
        <w:t>חצי</w:t>
      </w:r>
      <w:r w:rsidRPr="00C43143">
        <w:rPr>
          <w:rFonts w:ascii="David" w:hAnsi="David"/>
          <w:rtl/>
        </w:rPr>
        <w:t xml:space="preserve"> מתמשך לאורך חצי תיבה (שתי פעימות), </w:t>
      </w:r>
      <w:r w:rsidRPr="00C43143">
        <w:rPr>
          <w:rFonts w:ascii="David" w:hAnsi="David"/>
          <w:b/>
          <w:bCs/>
          <w:rtl/>
        </w:rPr>
        <w:t>רבע</w:t>
      </w:r>
      <w:r w:rsidRPr="00C43143">
        <w:rPr>
          <w:rFonts w:ascii="David" w:hAnsi="David"/>
          <w:rtl/>
        </w:rPr>
        <w:t xml:space="preserve"> למשך רבע תיבה (פעימה אחת בלבד), וכן הלאה. להלן המחשה של סימונים של כמה ממשכי הצליל הבסיסיים במשקל </w:t>
      </w:r>
      <w:r w:rsidRPr="00C43143">
        <w:rPr>
          <w:rFonts w:ascii="David" w:hAnsi="David"/>
          <w:position w:val="-12"/>
        </w:rPr>
        <w:object w:dxaOrig="180" w:dyaOrig="340">
          <v:shape id="_x0000_i1033" type="#_x0000_t75" style="width:9pt;height:17pt" o:ole="">
            <v:imagedata r:id="rId21" o:title=""/>
          </v:shape>
          <o:OLEObject Type="Embed" ProgID="Equation.DSMT4" ShapeID="_x0000_i1033" DrawAspect="Content" ObjectID="_1657715107" r:id="rId24"/>
        </w:object>
      </w:r>
      <w:r w:rsidRPr="00C43143">
        <w:rPr>
          <w:rFonts w:ascii="David" w:hAnsi="David"/>
          <w:rtl/>
        </w:rPr>
        <w:t xml:space="preserve">– </w:t>
      </w:r>
    </w:p>
    <w:p w:rsidR="00771866" w:rsidRPr="00C43143" w:rsidRDefault="00771866" w:rsidP="00771866">
      <w:pPr>
        <w:ind w:left="720"/>
        <w:jc w:val="both"/>
        <w:rPr>
          <w:rFonts w:ascii="David" w:hAnsi="David"/>
          <w:rtl/>
        </w:rPr>
      </w:pPr>
      <w:r w:rsidRPr="00C43143">
        <w:rPr>
          <w:rFonts w:ascii="David" w:hAnsi="David"/>
          <w:noProof/>
          <w:rtl/>
        </w:rPr>
        <w:drawing>
          <wp:inline distT="0" distB="0" distL="0" distR="0" wp14:anchorId="2831FF4A" wp14:editId="211B72E8">
            <wp:extent cx="4839698" cy="1168672"/>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47152" cy="1170472"/>
                    </a:xfrm>
                    <a:prstGeom prst="rect">
                      <a:avLst/>
                    </a:prstGeom>
                  </pic:spPr>
                </pic:pic>
              </a:graphicData>
            </a:graphic>
          </wp:inline>
        </w:drawing>
      </w:r>
    </w:p>
    <w:p w:rsidR="00771866" w:rsidRPr="00C43143" w:rsidRDefault="00771866" w:rsidP="00771866">
      <w:pPr>
        <w:ind w:left="720"/>
        <w:jc w:val="both"/>
        <w:rPr>
          <w:rFonts w:ascii="David" w:hAnsi="David"/>
          <w:rtl/>
        </w:rPr>
      </w:pPr>
    </w:p>
    <w:p w:rsidR="00771866" w:rsidRPr="00C43143" w:rsidRDefault="00771866" w:rsidP="00771866">
      <w:pPr>
        <w:ind w:left="720"/>
        <w:jc w:val="both"/>
        <w:rPr>
          <w:rFonts w:ascii="David" w:hAnsi="David"/>
          <w:rtl/>
        </w:rPr>
      </w:pPr>
      <w:r w:rsidRPr="00C43143">
        <w:rPr>
          <w:rFonts w:ascii="David" w:hAnsi="David"/>
          <w:rtl/>
        </w:rPr>
        <w:lastRenderedPageBreak/>
        <w:t xml:space="preserve">מבלי להיכנס לפרטי אופן הסימון, נציין כי המכנה של יחידת זמן משך שהיית צליל אינו מוגבל דווקא לכפולות שלמות של שתיים: ישנן דרכי רישום לכל מספר רציונלי. כמו כן, תיבה לא חייבת להיות הומוגנית ביחידות אורך, ניתן לשלב בה יחידות אורך מעורבות כל עוד משך השהייה הכולל של כלל התווים יחד בתיבה תואם למשקל הקצבי המוגדר ואינו קצר ממנו או חורג ממנו. </w:t>
      </w:r>
    </w:p>
    <w:p w:rsidR="00771866" w:rsidRPr="00C43143" w:rsidRDefault="00771866" w:rsidP="00771866">
      <w:pPr>
        <w:ind w:left="720"/>
        <w:jc w:val="both"/>
        <w:rPr>
          <w:rFonts w:ascii="David" w:hAnsi="David"/>
          <w:rtl/>
        </w:rPr>
      </w:pPr>
      <w:r w:rsidRPr="00C43143">
        <w:rPr>
          <w:rFonts w:ascii="David" w:hAnsi="David"/>
          <w:rtl/>
        </w:rPr>
        <w:t xml:space="preserve">כמו כן, ניתן להאריך את משך שהיית צליל/תו אל מעבר ליחידת הזמן הבסיסית שלו ע"י רישום מופע נוסף שלו העוקב למופע המבוקש וקישור שני המופעים בקשת חיבור. הארכה שכזו קובעת את משך השהייה הכולל של התו לסכום משכי הזמנים של התווים המחוברים בקשת. לחלופין, ניתן לציין יחידת זמן מנוקדת, שמשמעה היא משך של פי 1.5 מיחידת הזמן המקורית ללא הניקוד. ע"י שימוש בשתי הטכניקות לעיל ניתן להרכיב אינסוף ערכים ריתמיים שונים, ולייצר </w:t>
      </w:r>
      <w:r w:rsidRPr="00C43143">
        <w:rPr>
          <w:rFonts w:ascii="David" w:hAnsi="David"/>
          <w:b/>
          <w:bCs/>
          <w:rtl/>
        </w:rPr>
        <w:t>סינקופות</w:t>
      </w:r>
      <w:r w:rsidRPr="00C43143">
        <w:rPr>
          <w:rFonts w:ascii="David" w:hAnsi="David"/>
          <w:rtl/>
        </w:rPr>
        <w:t xml:space="preserve">, הדגשה של איזשהו תו ע"י ניגונו שלא על הפעימה עצמה, למשל ע"י קיצור משך השהייה של התו שקודם לתו הנוכחי, וניצול הזמן שהתפנה כדי להקדים טיפה את הנגינה של התו הנוכחי, פעולה שמעוררת אפקט של הפתעה ועניין. </w:t>
      </w:r>
    </w:p>
    <w:p w:rsidR="00771866" w:rsidRPr="00C43143" w:rsidRDefault="00771866" w:rsidP="00771866">
      <w:pPr>
        <w:ind w:left="720"/>
        <w:jc w:val="both"/>
        <w:rPr>
          <w:rFonts w:ascii="David" w:hAnsi="David"/>
          <w:rtl/>
        </w:rPr>
      </w:pPr>
    </w:p>
    <w:p w:rsidR="00771866" w:rsidRPr="00C43143" w:rsidRDefault="00771866" w:rsidP="00771866">
      <w:pPr>
        <w:ind w:left="720"/>
        <w:jc w:val="both"/>
        <w:rPr>
          <w:rFonts w:ascii="David" w:hAnsi="David"/>
          <w:rtl/>
        </w:rPr>
      </w:pPr>
      <w:r w:rsidRPr="00C43143">
        <w:rPr>
          <w:rFonts w:ascii="David" w:hAnsi="David"/>
          <w:rtl/>
        </w:rPr>
        <w:t xml:space="preserve">עבור הפסקות (שהיות של שקט) בין צלילים יש סימונים קצב ייעודיים, להלן הסימונים של הפסקות ביחידות זמן הבסיסיות מעל משקל </w:t>
      </w:r>
      <w:r w:rsidRPr="00C43143">
        <w:rPr>
          <w:rFonts w:ascii="David" w:hAnsi="David"/>
          <w:position w:val="-10"/>
        </w:rPr>
        <w:object w:dxaOrig="360" w:dyaOrig="300">
          <v:shape id="_x0000_i1034" type="#_x0000_t75" style="width:18pt;height:15pt" o:ole="">
            <v:imagedata r:id="rId26" o:title=""/>
          </v:shape>
          <o:OLEObject Type="Embed" ProgID="Equation.DSMT4" ShapeID="_x0000_i1034" DrawAspect="Content" ObjectID="_1657715108" r:id="rId27"/>
        </w:object>
      </w:r>
      <w:r w:rsidRPr="00C43143">
        <w:rPr>
          <w:rFonts w:ascii="David" w:hAnsi="David"/>
          <w:rtl/>
        </w:rPr>
        <w:t xml:space="preserve">: </w:t>
      </w:r>
    </w:p>
    <w:p w:rsidR="00771866" w:rsidRPr="00C43143" w:rsidRDefault="00771866" w:rsidP="00771866">
      <w:pPr>
        <w:ind w:left="720"/>
        <w:jc w:val="both"/>
        <w:rPr>
          <w:rFonts w:ascii="David" w:hAnsi="David"/>
        </w:rPr>
      </w:pPr>
      <w:r w:rsidRPr="00C43143">
        <w:rPr>
          <w:rFonts w:ascii="David" w:hAnsi="David"/>
          <w:noProof/>
          <w:rtl/>
        </w:rPr>
        <w:drawing>
          <wp:inline distT="0" distB="0" distL="0" distR="0" wp14:anchorId="3513EA86" wp14:editId="5818F204">
            <wp:extent cx="4840941" cy="608832"/>
            <wp:effectExtent l="0" t="0" r="0" b="127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42761" cy="609061"/>
                    </a:xfrm>
                    <a:prstGeom prst="rect">
                      <a:avLst/>
                    </a:prstGeom>
                  </pic:spPr>
                </pic:pic>
              </a:graphicData>
            </a:graphic>
          </wp:inline>
        </w:drawing>
      </w:r>
    </w:p>
    <w:p w:rsidR="00771866" w:rsidRDefault="00771866" w:rsidP="00771866">
      <w:pPr>
        <w:pStyle w:val="a3"/>
        <w:ind w:left="360"/>
        <w:jc w:val="both"/>
        <w:rPr>
          <w:rFonts w:ascii="David" w:hAnsi="David"/>
          <w:b/>
          <w:bCs/>
          <w:u w:val="single"/>
          <w:rtl/>
        </w:rPr>
      </w:pPr>
    </w:p>
    <w:p w:rsidR="002824CC" w:rsidRDefault="002824CC" w:rsidP="00771866">
      <w:pPr>
        <w:pStyle w:val="a3"/>
        <w:ind w:left="360"/>
        <w:jc w:val="both"/>
        <w:rPr>
          <w:rFonts w:ascii="David" w:hAnsi="David"/>
          <w:b/>
          <w:bCs/>
          <w:u w:val="single"/>
          <w:rtl/>
        </w:rPr>
      </w:pPr>
    </w:p>
    <w:p w:rsidR="002824CC" w:rsidRPr="00C43143" w:rsidRDefault="002824CC" w:rsidP="00771866">
      <w:pPr>
        <w:pStyle w:val="a3"/>
        <w:ind w:left="360"/>
        <w:jc w:val="both"/>
        <w:rPr>
          <w:rFonts w:ascii="David" w:hAnsi="David"/>
          <w:b/>
          <w:bCs/>
          <w:u w:val="single"/>
          <w:rtl/>
        </w:rPr>
      </w:pPr>
    </w:p>
    <w:p w:rsidR="00771866" w:rsidRPr="00C43143" w:rsidRDefault="00771866" w:rsidP="00771866">
      <w:pPr>
        <w:pStyle w:val="a3"/>
        <w:ind w:left="360"/>
        <w:jc w:val="both"/>
        <w:rPr>
          <w:rFonts w:ascii="David" w:hAnsi="David"/>
          <w:b/>
          <w:bCs/>
          <w:u w:val="single"/>
        </w:rPr>
      </w:pPr>
    </w:p>
    <w:p w:rsidR="00771866" w:rsidRPr="00C43143" w:rsidRDefault="00771866" w:rsidP="00771866">
      <w:pPr>
        <w:pStyle w:val="a3"/>
        <w:numPr>
          <w:ilvl w:val="0"/>
          <w:numId w:val="3"/>
        </w:numPr>
        <w:spacing w:before="240"/>
        <w:jc w:val="both"/>
        <w:rPr>
          <w:rFonts w:ascii="David" w:hAnsi="David"/>
          <w:b/>
          <w:bCs/>
          <w:u w:val="single"/>
        </w:rPr>
      </w:pPr>
      <w:r w:rsidRPr="00C43143">
        <w:rPr>
          <w:rFonts w:ascii="David" w:hAnsi="David"/>
          <w:b/>
          <w:bCs/>
          <w:u w:val="single"/>
          <w:rtl/>
        </w:rPr>
        <w:t>הרמוניה ומלודיה</w:t>
      </w:r>
    </w:p>
    <w:p w:rsidR="00771866" w:rsidRPr="00C43143" w:rsidRDefault="00771866" w:rsidP="00771866">
      <w:pPr>
        <w:pStyle w:val="a3"/>
        <w:spacing w:before="240"/>
        <w:ind w:left="360"/>
        <w:jc w:val="both"/>
        <w:rPr>
          <w:rFonts w:ascii="David" w:hAnsi="David"/>
          <w:rtl/>
        </w:rPr>
      </w:pPr>
      <w:r w:rsidRPr="00C43143">
        <w:rPr>
          <w:rFonts w:ascii="David" w:hAnsi="David"/>
          <w:rtl/>
        </w:rPr>
        <w:t xml:space="preserve">באופן כללי, </w:t>
      </w:r>
      <w:r w:rsidRPr="00C43143">
        <w:rPr>
          <w:rFonts w:ascii="David" w:hAnsi="David"/>
          <w:b/>
          <w:bCs/>
          <w:rtl/>
        </w:rPr>
        <w:t>מלודיה</w:t>
      </w:r>
      <w:r w:rsidRPr="00C43143">
        <w:rPr>
          <w:rFonts w:ascii="David" w:hAnsi="David"/>
          <w:rtl/>
        </w:rPr>
        <w:t xml:space="preserve"> (מנגינה) מוגדרת ע"י רצף של צלילים המנוגנים אחד אחרי השני (לחוד), ו</w:t>
      </w:r>
      <w:r w:rsidRPr="00C43143">
        <w:rPr>
          <w:rFonts w:ascii="David" w:hAnsi="David"/>
          <w:b/>
          <w:bCs/>
          <w:rtl/>
        </w:rPr>
        <w:t>הרמוניה</w:t>
      </w:r>
      <w:r w:rsidRPr="00C43143">
        <w:rPr>
          <w:rFonts w:ascii="David" w:hAnsi="David"/>
          <w:rtl/>
        </w:rPr>
        <w:t xml:space="preserve"> מוגדרת ע"י רצף של צלילים המנוגנים יחדיו (במקביל). ההרמוניה מלווה את המלודיה.  </w:t>
      </w:r>
    </w:p>
    <w:p w:rsidR="00771866" w:rsidRPr="00C43143" w:rsidRDefault="00771866" w:rsidP="00771866">
      <w:pPr>
        <w:jc w:val="both"/>
        <w:rPr>
          <w:rFonts w:ascii="David" w:hAnsi="David"/>
          <w:b/>
          <w:bCs/>
          <w:u w:val="single"/>
        </w:rPr>
      </w:pPr>
    </w:p>
    <w:p w:rsidR="00771866" w:rsidRPr="00C43143" w:rsidRDefault="00771866" w:rsidP="00771866">
      <w:pPr>
        <w:pStyle w:val="a3"/>
        <w:numPr>
          <w:ilvl w:val="0"/>
          <w:numId w:val="3"/>
        </w:numPr>
        <w:jc w:val="both"/>
        <w:rPr>
          <w:rFonts w:ascii="David" w:hAnsi="David"/>
          <w:b/>
          <w:bCs/>
          <w:u w:val="single"/>
          <w:rtl/>
        </w:rPr>
      </w:pPr>
      <w:r w:rsidRPr="00C43143">
        <w:rPr>
          <w:rFonts w:ascii="David" w:hAnsi="David"/>
          <w:b/>
          <w:bCs/>
          <w:u w:val="single"/>
          <w:rtl/>
        </w:rPr>
        <w:t xml:space="preserve">סוגי מרווחים </w:t>
      </w:r>
    </w:p>
    <w:p w:rsidR="00771866" w:rsidRPr="00C43143" w:rsidRDefault="00771866" w:rsidP="00771866">
      <w:pPr>
        <w:pStyle w:val="a3"/>
        <w:ind w:left="360"/>
        <w:jc w:val="both"/>
        <w:rPr>
          <w:rFonts w:ascii="David" w:hAnsi="David"/>
          <w:rtl/>
        </w:rPr>
      </w:pPr>
      <w:r w:rsidRPr="00C43143">
        <w:rPr>
          <w:rFonts w:ascii="David" w:hAnsi="David"/>
          <w:rtl/>
        </w:rPr>
        <w:t xml:space="preserve">כאמור, מרווחים במוסיקה המערבית מרווחים נמדדים ביחידות של טון (וחצאי טון). היחס הנקבע ע"י מרווח מסוים משרה איזושהי תחושה כאשר המרווח מנוגן באופן הרמוני (דהיינו כאשר שני הצלילים היוצרים את המרווח מנוגנים יחדיו במקביל). תחושה זה יכולה להיות מסווגת כנעימה (קונסוננטית), צורמת (דיסוננטית) או זכה (צלולה, טבעית). בהתאם, המרווחים מסווגים למחלקות מתאימות. להלן רשימה של המרווחים הבסיסיים הכלולים באוקטבה אחת – </w:t>
      </w:r>
    </w:p>
    <w:tbl>
      <w:tblPr>
        <w:tblStyle w:val="4-11"/>
        <w:bidiVisual/>
        <w:tblW w:w="8176" w:type="dxa"/>
        <w:tblInd w:w="482" w:type="dxa"/>
        <w:tblLook w:val="04A0" w:firstRow="1" w:lastRow="0" w:firstColumn="1" w:lastColumn="0" w:noHBand="0" w:noVBand="1"/>
      </w:tblPr>
      <w:tblGrid>
        <w:gridCol w:w="1916"/>
        <w:gridCol w:w="3283"/>
        <w:gridCol w:w="2977"/>
      </w:tblGrid>
      <w:tr w:rsidR="00771866" w:rsidRPr="00C43143" w:rsidTr="00805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771866" w:rsidRPr="00C43143" w:rsidRDefault="00771866" w:rsidP="00805EB0">
            <w:pPr>
              <w:pStyle w:val="a3"/>
              <w:spacing w:after="0"/>
              <w:ind w:left="0"/>
              <w:jc w:val="both"/>
              <w:rPr>
                <w:rFonts w:ascii="David" w:hAnsi="David"/>
                <w:sz w:val="20"/>
                <w:szCs w:val="20"/>
                <w:rtl/>
              </w:rPr>
            </w:pPr>
            <w:r w:rsidRPr="00C43143">
              <w:rPr>
                <w:rFonts w:ascii="David" w:hAnsi="David"/>
                <w:sz w:val="20"/>
                <w:szCs w:val="20"/>
                <w:rtl/>
              </w:rPr>
              <w:t>מרווח</w:t>
            </w:r>
          </w:p>
        </w:tc>
        <w:tc>
          <w:tcPr>
            <w:tcW w:w="3283" w:type="dxa"/>
          </w:tcPr>
          <w:p w:rsidR="00771866" w:rsidRPr="00C43143" w:rsidRDefault="00771866" w:rsidP="00805EB0">
            <w:pPr>
              <w:pStyle w:val="a3"/>
              <w:spacing w:after="0"/>
              <w:ind w:left="0"/>
              <w:jc w:val="both"/>
              <w:cnfStyle w:val="100000000000" w:firstRow="1"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 xml:space="preserve">מרחק בטונים </w:t>
            </w:r>
          </w:p>
        </w:tc>
        <w:tc>
          <w:tcPr>
            <w:tcW w:w="2977" w:type="dxa"/>
          </w:tcPr>
          <w:p w:rsidR="00771866" w:rsidRPr="00C43143" w:rsidRDefault="00771866" w:rsidP="00805EB0">
            <w:pPr>
              <w:pStyle w:val="a3"/>
              <w:spacing w:after="0"/>
              <w:ind w:left="0"/>
              <w:jc w:val="both"/>
              <w:cnfStyle w:val="100000000000" w:firstRow="1"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 xml:space="preserve">מחלקה </w:t>
            </w:r>
          </w:p>
        </w:tc>
      </w:tr>
      <w:tr w:rsidR="00771866" w:rsidRPr="00C43143" w:rsidTr="0080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771866" w:rsidRPr="00C43143" w:rsidRDefault="00771866" w:rsidP="00805EB0">
            <w:pPr>
              <w:pStyle w:val="a3"/>
              <w:spacing w:after="0"/>
              <w:ind w:left="0"/>
              <w:jc w:val="both"/>
              <w:rPr>
                <w:rFonts w:ascii="David" w:hAnsi="David"/>
                <w:sz w:val="20"/>
                <w:szCs w:val="20"/>
                <w:rtl/>
              </w:rPr>
            </w:pPr>
            <w:r w:rsidRPr="00C43143">
              <w:rPr>
                <w:rFonts w:ascii="David" w:hAnsi="David"/>
                <w:sz w:val="20"/>
                <w:szCs w:val="20"/>
                <w:rtl/>
              </w:rPr>
              <w:t>סקונדה קטנה</w:t>
            </w:r>
          </w:p>
        </w:tc>
        <w:tc>
          <w:tcPr>
            <w:tcW w:w="3283" w:type="dxa"/>
          </w:tcPr>
          <w:p w:rsidR="00771866" w:rsidRPr="00C43143" w:rsidRDefault="00771866" w:rsidP="00805EB0">
            <w:pPr>
              <w:pStyle w:val="a3"/>
              <w:spacing w:after="0"/>
              <w:ind w:left="0"/>
              <w:jc w:val="both"/>
              <w:cnfStyle w:val="000000100000" w:firstRow="0" w:lastRow="0" w:firstColumn="0" w:lastColumn="0" w:oddVBand="0" w:evenVBand="0" w:oddHBand="1" w:evenHBand="0" w:firstRowFirstColumn="0" w:firstRowLastColumn="0" w:lastRowFirstColumn="0" w:lastRowLastColumn="0"/>
              <w:rPr>
                <w:rFonts w:ascii="David" w:hAnsi="David"/>
                <w:sz w:val="20"/>
                <w:szCs w:val="20"/>
                <w:rtl/>
              </w:rPr>
            </w:pPr>
            <w:r w:rsidRPr="00C43143">
              <w:rPr>
                <w:rFonts w:ascii="David" w:hAnsi="David"/>
                <w:sz w:val="20"/>
                <w:szCs w:val="20"/>
                <w:rtl/>
              </w:rPr>
              <w:t>חצי טון</w:t>
            </w:r>
          </w:p>
        </w:tc>
        <w:tc>
          <w:tcPr>
            <w:tcW w:w="2977" w:type="dxa"/>
          </w:tcPr>
          <w:p w:rsidR="00771866" w:rsidRPr="00C43143" w:rsidRDefault="00771866" w:rsidP="00805EB0">
            <w:pPr>
              <w:pStyle w:val="a3"/>
              <w:spacing w:after="0"/>
              <w:ind w:left="0"/>
              <w:jc w:val="both"/>
              <w:cnfStyle w:val="000000100000" w:firstRow="0" w:lastRow="0" w:firstColumn="0" w:lastColumn="0" w:oddVBand="0" w:evenVBand="0" w:oddHBand="1" w:evenHBand="0" w:firstRowFirstColumn="0" w:firstRowLastColumn="0" w:lastRowFirstColumn="0" w:lastRowLastColumn="0"/>
              <w:rPr>
                <w:rFonts w:ascii="David" w:hAnsi="David"/>
                <w:sz w:val="20"/>
                <w:szCs w:val="20"/>
                <w:rtl/>
              </w:rPr>
            </w:pPr>
            <w:r w:rsidRPr="00C43143">
              <w:rPr>
                <w:rFonts w:ascii="David" w:hAnsi="David"/>
                <w:sz w:val="20"/>
                <w:szCs w:val="20"/>
                <w:rtl/>
              </w:rPr>
              <w:t xml:space="preserve">מרווחים דיסוננטיים </w:t>
            </w:r>
          </w:p>
        </w:tc>
      </w:tr>
      <w:tr w:rsidR="00771866" w:rsidRPr="00C43143" w:rsidTr="00805EB0">
        <w:tc>
          <w:tcPr>
            <w:cnfStyle w:val="001000000000" w:firstRow="0" w:lastRow="0" w:firstColumn="1" w:lastColumn="0" w:oddVBand="0" w:evenVBand="0" w:oddHBand="0" w:evenHBand="0" w:firstRowFirstColumn="0" w:firstRowLastColumn="0" w:lastRowFirstColumn="0" w:lastRowLastColumn="0"/>
            <w:tcW w:w="1916" w:type="dxa"/>
          </w:tcPr>
          <w:p w:rsidR="00771866" w:rsidRPr="00C43143" w:rsidRDefault="00771866" w:rsidP="00805EB0">
            <w:pPr>
              <w:pStyle w:val="a3"/>
              <w:spacing w:after="0"/>
              <w:ind w:left="0"/>
              <w:jc w:val="both"/>
              <w:rPr>
                <w:rFonts w:ascii="David" w:hAnsi="David"/>
                <w:sz w:val="20"/>
                <w:szCs w:val="20"/>
                <w:rtl/>
              </w:rPr>
            </w:pPr>
            <w:r w:rsidRPr="00C43143">
              <w:rPr>
                <w:rFonts w:ascii="David" w:hAnsi="David"/>
                <w:sz w:val="20"/>
                <w:szCs w:val="20"/>
                <w:rtl/>
              </w:rPr>
              <w:t xml:space="preserve">סקונדה גדולה </w:t>
            </w:r>
          </w:p>
        </w:tc>
        <w:tc>
          <w:tcPr>
            <w:tcW w:w="3283" w:type="dxa"/>
          </w:tcPr>
          <w:p w:rsidR="00771866" w:rsidRPr="00C43143" w:rsidRDefault="00771866" w:rsidP="00805EB0">
            <w:pPr>
              <w:pStyle w:val="a3"/>
              <w:spacing w:after="0"/>
              <w:ind w:left="0"/>
              <w:jc w:val="both"/>
              <w:cnfStyle w:val="000000000000" w:firstRow="0"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טון</w:t>
            </w:r>
          </w:p>
        </w:tc>
        <w:tc>
          <w:tcPr>
            <w:tcW w:w="2977" w:type="dxa"/>
          </w:tcPr>
          <w:p w:rsidR="00771866" w:rsidRPr="00C43143" w:rsidRDefault="00771866" w:rsidP="00805EB0">
            <w:pPr>
              <w:pStyle w:val="a3"/>
              <w:spacing w:after="0"/>
              <w:ind w:left="0"/>
              <w:jc w:val="both"/>
              <w:cnfStyle w:val="000000000000" w:firstRow="0"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מרווחים דיסוננטיים</w:t>
            </w:r>
          </w:p>
        </w:tc>
      </w:tr>
      <w:tr w:rsidR="00771866" w:rsidRPr="00C43143" w:rsidTr="0080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771866" w:rsidRPr="00C43143" w:rsidRDefault="00771866" w:rsidP="00805EB0">
            <w:pPr>
              <w:pStyle w:val="a3"/>
              <w:spacing w:after="0"/>
              <w:ind w:left="0"/>
              <w:jc w:val="both"/>
              <w:rPr>
                <w:rFonts w:ascii="David" w:hAnsi="David"/>
                <w:sz w:val="20"/>
                <w:szCs w:val="20"/>
                <w:rtl/>
              </w:rPr>
            </w:pPr>
            <w:r w:rsidRPr="00C43143">
              <w:rPr>
                <w:rFonts w:ascii="David" w:hAnsi="David"/>
                <w:sz w:val="20"/>
                <w:szCs w:val="20"/>
                <w:rtl/>
              </w:rPr>
              <w:t>טרצה קטנה</w:t>
            </w:r>
          </w:p>
        </w:tc>
        <w:tc>
          <w:tcPr>
            <w:tcW w:w="3283" w:type="dxa"/>
          </w:tcPr>
          <w:p w:rsidR="00771866" w:rsidRPr="00C43143" w:rsidRDefault="00771866" w:rsidP="00805EB0">
            <w:pPr>
              <w:pStyle w:val="a3"/>
              <w:spacing w:after="0"/>
              <w:ind w:left="0"/>
              <w:jc w:val="both"/>
              <w:cnfStyle w:val="000000100000" w:firstRow="0" w:lastRow="0" w:firstColumn="0" w:lastColumn="0" w:oddVBand="0" w:evenVBand="0" w:oddHBand="1" w:evenHBand="0" w:firstRowFirstColumn="0" w:firstRowLastColumn="0" w:lastRowFirstColumn="0" w:lastRowLastColumn="0"/>
              <w:rPr>
                <w:rFonts w:ascii="David" w:hAnsi="David"/>
                <w:sz w:val="20"/>
                <w:szCs w:val="20"/>
                <w:rtl/>
              </w:rPr>
            </w:pPr>
            <w:r w:rsidRPr="00C43143">
              <w:rPr>
                <w:rFonts w:ascii="David" w:hAnsi="David"/>
                <w:sz w:val="20"/>
                <w:szCs w:val="20"/>
                <w:rtl/>
              </w:rPr>
              <w:t>טון וחצי</w:t>
            </w:r>
          </w:p>
        </w:tc>
        <w:tc>
          <w:tcPr>
            <w:tcW w:w="2977" w:type="dxa"/>
          </w:tcPr>
          <w:p w:rsidR="00771866" w:rsidRPr="00C43143" w:rsidRDefault="00771866" w:rsidP="00805EB0">
            <w:pPr>
              <w:pStyle w:val="a3"/>
              <w:spacing w:after="0"/>
              <w:ind w:left="0"/>
              <w:jc w:val="both"/>
              <w:cnfStyle w:val="000000100000" w:firstRow="0" w:lastRow="0" w:firstColumn="0" w:lastColumn="0" w:oddVBand="0" w:evenVBand="0" w:oddHBand="1" w:evenHBand="0" w:firstRowFirstColumn="0" w:firstRowLastColumn="0" w:lastRowFirstColumn="0" w:lastRowLastColumn="0"/>
              <w:rPr>
                <w:rFonts w:ascii="David" w:hAnsi="David"/>
                <w:sz w:val="20"/>
                <w:szCs w:val="20"/>
                <w:rtl/>
              </w:rPr>
            </w:pPr>
            <w:r w:rsidRPr="00C43143">
              <w:rPr>
                <w:rFonts w:ascii="David" w:hAnsi="David"/>
                <w:sz w:val="20"/>
                <w:szCs w:val="20"/>
                <w:rtl/>
              </w:rPr>
              <w:t>מרווחים קונסוננטיים</w:t>
            </w:r>
          </w:p>
        </w:tc>
      </w:tr>
      <w:tr w:rsidR="00771866" w:rsidRPr="00C43143" w:rsidTr="00805EB0">
        <w:tc>
          <w:tcPr>
            <w:cnfStyle w:val="001000000000" w:firstRow="0" w:lastRow="0" w:firstColumn="1" w:lastColumn="0" w:oddVBand="0" w:evenVBand="0" w:oddHBand="0" w:evenHBand="0" w:firstRowFirstColumn="0" w:firstRowLastColumn="0" w:lastRowFirstColumn="0" w:lastRowLastColumn="0"/>
            <w:tcW w:w="1916" w:type="dxa"/>
          </w:tcPr>
          <w:p w:rsidR="00771866" w:rsidRPr="00C43143" w:rsidRDefault="00771866" w:rsidP="00805EB0">
            <w:pPr>
              <w:pStyle w:val="a3"/>
              <w:spacing w:after="0"/>
              <w:ind w:left="0"/>
              <w:jc w:val="both"/>
              <w:rPr>
                <w:rFonts w:ascii="David" w:hAnsi="David"/>
                <w:sz w:val="20"/>
                <w:szCs w:val="20"/>
                <w:rtl/>
              </w:rPr>
            </w:pPr>
            <w:r w:rsidRPr="00C43143">
              <w:rPr>
                <w:rFonts w:ascii="David" w:hAnsi="David"/>
                <w:sz w:val="20"/>
                <w:szCs w:val="20"/>
                <w:rtl/>
              </w:rPr>
              <w:t>טרצה גדולה</w:t>
            </w:r>
          </w:p>
        </w:tc>
        <w:tc>
          <w:tcPr>
            <w:tcW w:w="3283" w:type="dxa"/>
          </w:tcPr>
          <w:p w:rsidR="00771866" w:rsidRPr="00C43143" w:rsidRDefault="00771866" w:rsidP="00805EB0">
            <w:pPr>
              <w:pStyle w:val="a3"/>
              <w:spacing w:after="0"/>
              <w:ind w:left="0"/>
              <w:jc w:val="both"/>
              <w:cnfStyle w:val="000000000000" w:firstRow="0"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שני טונים</w:t>
            </w:r>
          </w:p>
        </w:tc>
        <w:tc>
          <w:tcPr>
            <w:tcW w:w="2977" w:type="dxa"/>
          </w:tcPr>
          <w:p w:rsidR="00771866" w:rsidRPr="00C43143" w:rsidRDefault="00771866" w:rsidP="00805EB0">
            <w:pPr>
              <w:pStyle w:val="a3"/>
              <w:spacing w:after="0"/>
              <w:ind w:left="0"/>
              <w:jc w:val="both"/>
              <w:cnfStyle w:val="000000000000" w:firstRow="0"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מרווחים קונסוננטיים</w:t>
            </w:r>
          </w:p>
        </w:tc>
      </w:tr>
      <w:tr w:rsidR="00771866" w:rsidRPr="00C43143" w:rsidTr="0080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771866" w:rsidRPr="00C43143" w:rsidRDefault="00771866" w:rsidP="00805EB0">
            <w:pPr>
              <w:pStyle w:val="a3"/>
              <w:spacing w:after="0"/>
              <w:ind w:left="0"/>
              <w:jc w:val="both"/>
              <w:rPr>
                <w:rFonts w:ascii="David" w:hAnsi="David"/>
                <w:sz w:val="20"/>
                <w:szCs w:val="20"/>
                <w:rtl/>
              </w:rPr>
            </w:pPr>
            <w:r w:rsidRPr="00C43143">
              <w:rPr>
                <w:rFonts w:ascii="David" w:hAnsi="David"/>
                <w:sz w:val="20"/>
                <w:szCs w:val="20"/>
                <w:rtl/>
              </w:rPr>
              <w:t>קוורטה</w:t>
            </w:r>
          </w:p>
        </w:tc>
        <w:tc>
          <w:tcPr>
            <w:tcW w:w="3283" w:type="dxa"/>
          </w:tcPr>
          <w:p w:rsidR="00771866" w:rsidRPr="00C43143" w:rsidRDefault="00771866" w:rsidP="00805EB0">
            <w:pPr>
              <w:pStyle w:val="a3"/>
              <w:spacing w:after="0"/>
              <w:ind w:left="0"/>
              <w:jc w:val="both"/>
              <w:cnfStyle w:val="000000100000" w:firstRow="0" w:lastRow="0" w:firstColumn="0" w:lastColumn="0" w:oddVBand="0" w:evenVBand="0" w:oddHBand="1" w:evenHBand="0" w:firstRowFirstColumn="0" w:firstRowLastColumn="0" w:lastRowFirstColumn="0" w:lastRowLastColumn="0"/>
              <w:rPr>
                <w:rFonts w:ascii="David" w:hAnsi="David"/>
                <w:sz w:val="20"/>
                <w:szCs w:val="20"/>
                <w:rtl/>
              </w:rPr>
            </w:pPr>
            <w:r w:rsidRPr="00C43143">
              <w:rPr>
                <w:rFonts w:ascii="David" w:hAnsi="David"/>
                <w:sz w:val="20"/>
                <w:szCs w:val="20"/>
                <w:rtl/>
              </w:rPr>
              <w:t>שניים וחצי טונים</w:t>
            </w:r>
          </w:p>
        </w:tc>
        <w:tc>
          <w:tcPr>
            <w:tcW w:w="2977" w:type="dxa"/>
          </w:tcPr>
          <w:p w:rsidR="00771866" w:rsidRPr="00C43143" w:rsidRDefault="00771866" w:rsidP="00805EB0">
            <w:pPr>
              <w:pStyle w:val="a3"/>
              <w:spacing w:after="0"/>
              <w:ind w:left="0"/>
              <w:jc w:val="both"/>
              <w:cnfStyle w:val="000000100000" w:firstRow="0" w:lastRow="0" w:firstColumn="0" w:lastColumn="0" w:oddVBand="0" w:evenVBand="0" w:oddHBand="1" w:evenHBand="0" w:firstRowFirstColumn="0" w:firstRowLastColumn="0" w:lastRowFirstColumn="0" w:lastRowLastColumn="0"/>
              <w:rPr>
                <w:rFonts w:ascii="David" w:hAnsi="David"/>
                <w:sz w:val="20"/>
                <w:szCs w:val="20"/>
                <w:rtl/>
              </w:rPr>
            </w:pPr>
            <w:r w:rsidRPr="00C43143">
              <w:rPr>
                <w:rFonts w:ascii="David" w:hAnsi="David"/>
                <w:sz w:val="20"/>
                <w:szCs w:val="20"/>
                <w:rtl/>
              </w:rPr>
              <w:t xml:space="preserve">מרווחים זכים </w:t>
            </w:r>
          </w:p>
        </w:tc>
      </w:tr>
      <w:tr w:rsidR="00771866" w:rsidRPr="00C43143" w:rsidTr="00805EB0">
        <w:tc>
          <w:tcPr>
            <w:cnfStyle w:val="001000000000" w:firstRow="0" w:lastRow="0" w:firstColumn="1" w:lastColumn="0" w:oddVBand="0" w:evenVBand="0" w:oddHBand="0" w:evenHBand="0" w:firstRowFirstColumn="0" w:firstRowLastColumn="0" w:lastRowFirstColumn="0" w:lastRowLastColumn="0"/>
            <w:tcW w:w="1916" w:type="dxa"/>
          </w:tcPr>
          <w:p w:rsidR="00771866" w:rsidRPr="00C43143" w:rsidRDefault="00771866" w:rsidP="00805EB0">
            <w:pPr>
              <w:pStyle w:val="a3"/>
              <w:spacing w:after="0"/>
              <w:ind w:left="0"/>
              <w:jc w:val="both"/>
              <w:rPr>
                <w:rFonts w:ascii="David" w:hAnsi="David"/>
                <w:sz w:val="20"/>
                <w:szCs w:val="20"/>
                <w:rtl/>
              </w:rPr>
            </w:pPr>
            <w:r w:rsidRPr="00C43143">
              <w:rPr>
                <w:rFonts w:ascii="David" w:hAnsi="David"/>
                <w:sz w:val="20"/>
                <w:szCs w:val="20"/>
                <w:rtl/>
              </w:rPr>
              <w:t>טריטון</w:t>
            </w:r>
          </w:p>
        </w:tc>
        <w:tc>
          <w:tcPr>
            <w:tcW w:w="3283" w:type="dxa"/>
          </w:tcPr>
          <w:p w:rsidR="00771866" w:rsidRPr="00C43143" w:rsidRDefault="00771866" w:rsidP="00805EB0">
            <w:pPr>
              <w:pStyle w:val="a3"/>
              <w:spacing w:after="0"/>
              <w:ind w:left="0"/>
              <w:jc w:val="both"/>
              <w:cnfStyle w:val="000000000000" w:firstRow="0"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 xml:space="preserve">שלושה טונים </w:t>
            </w:r>
          </w:p>
        </w:tc>
        <w:tc>
          <w:tcPr>
            <w:tcW w:w="2977" w:type="dxa"/>
          </w:tcPr>
          <w:p w:rsidR="00771866" w:rsidRPr="00C43143" w:rsidRDefault="00771866" w:rsidP="00805EB0">
            <w:pPr>
              <w:pStyle w:val="a3"/>
              <w:spacing w:after="0"/>
              <w:ind w:left="0"/>
              <w:jc w:val="both"/>
              <w:cnfStyle w:val="000000000000" w:firstRow="0"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מרווחים דיסוננטיים</w:t>
            </w:r>
          </w:p>
        </w:tc>
      </w:tr>
      <w:tr w:rsidR="00771866" w:rsidRPr="00C43143" w:rsidTr="0080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771866" w:rsidRPr="00C43143" w:rsidRDefault="00771866" w:rsidP="00805EB0">
            <w:pPr>
              <w:pStyle w:val="a3"/>
              <w:spacing w:after="0"/>
              <w:ind w:left="0"/>
              <w:jc w:val="both"/>
              <w:rPr>
                <w:rFonts w:ascii="David" w:hAnsi="David"/>
                <w:sz w:val="20"/>
                <w:szCs w:val="20"/>
                <w:rtl/>
              </w:rPr>
            </w:pPr>
            <w:proofErr w:type="spellStart"/>
            <w:r w:rsidRPr="00C43143">
              <w:rPr>
                <w:rFonts w:ascii="David" w:hAnsi="David"/>
                <w:sz w:val="20"/>
                <w:szCs w:val="20"/>
                <w:rtl/>
              </w:rPr>
              <w:t>קווינטה</w:t>
            </w:r>
            <w:proofErr w:type="spellEnd"/>
          </w:p>
        </w:tc>
        <w:tc>
          <w:tcPr>
            <w:tcW w:w="3283" w:type="dxa"/>
          </w:tcPr>
          <w:p w:rsidR="00771866" w:rsidRPr="00C43143" w:rsidRDefault="00771866" w:rsidP="00805EB0">
            <w:pPr>
              <w:pStyle w:val="a3"/>
              <w:spacing w:after="0"/>
              <w:ind w:left="0"/>
              <w:jc w:val="both"/>
              <w:cnfStyle w:val="000000100000" w:firstRow="0" w:lastRow="0" w:firstColumn="0" w:lastColumn="0" w:oddVBand="0" w:evenVBand="0" w:oddHBand="1" w:evenHBand="0" w:firstRowFirstColumn="0" w:firstRowLastColumn="0" w:lastRowFirstColumn="0" w:lastRowLastColumn="0"/>
              <w:rPr>
                <w:rFonts w:ascii="David" w:hAnsi="David"/>
                <w:sz w:val="20"/>
                <w:szCs w:val="20"/>
                <w:rtl/>
              </w:rPr>
            </w:pPr>
            <w:r w:rsidRPr="00C43143">
              <w:rPr>
                <w:rFonts w:ascii="David" w:hAnsi="David"/>
                <w:sz w:val="20"/>
                <w:szCs w:val="20"/>
                <w:rtl/>
              </w:rPr>
              <w:t xml:space="preserve">שלושה וחצי טונים </w:t>
            </w:r>
          </w:p>
        </w:tc>
        <w:tc>
          <w:tcPr>
            <w:tcW w:w="2977" w:type="dxa"/>
          </w:tcPr>
          <w:p w:rsidR="00771866" w:rsidRPr="00C43143" w:rsidRDefault="00771866" w:rsidP="00805EB0">
            <w:pPr>
              <w:pStyle w:val="a3"/>
              <w:spacing w:after="0"/>
              <w:ind w:left="0"/>
              <w:jc w:val="both"/>
              <w:cnfStyle w:val="000000100000" w:firstRow="0" w:lastRow="0" w:firstColumn="0" w:lastColumn="0" w:oddVBand="0" w:evenVBand="0" w:oddHBand="1" w:evenHBand="0" w:firstRowFirstColumn="0" w:firstRowLastColumn="0" w:lastRowFirstColumn="0" w:lastRowLastColumn="0"/>
              <w:rPr>
                <w:rFonts w:ascii="David" w:hAnsi="David"/>
                <w:sz w:val="20"/>
                <w:szCs w:val="20"/>
                <w:rtl/>
              </w:rPr>
            </w:pPr>
            <w:r w:rsidRPr="00C43143">
              <w:rPr>
                <w:rFonts w:ascii="David" w:hAnsi="David"/>
                <w:sz w:val="20"/>
                <w:szCs w:val="20"/>
                <w:rtl/>
              </w:rPr>
              <w:t>מרווחים זכים</w:t>
            </w:r>
          </w:p>
        </w:tc>
      </w:tr>
      <w:tr w:rsidR="00771866" w:rsidRPr="00C43143" w:rsidTr="00805EB0">
        <w:tc>
          <w:tcPr>
            <w:cnfStyle w:val="001000000000" w:firstRow="0" w:lastRow="0" w:firstColumn="1" w:lastColumn="0" w:oddVBand="0" w:evenVBand="0" w:oddHBand="0" w:evenHBand="0" w:firstRowFirstColumn="0" w:firstRowLastColumn="0" w:lastRowFirstColumn="0" w:lastRowLastColumn="0"/>
            <w:tcW w:w="1916" w:type="dxa"/>
          </w:tcPr>
          <w:p w:rsidR="00771866" w:rsidRPr="00C43143" w:rsidRDefault="00771866" w:rsidP="00805EB0">
            <w:pPr>
              <w:pStyle w:val="a3"/>
              <w:spacing w:after="0"/>
              <w:ind w:left="0"/>
              <w:jc w:val="both"/>
              <w:rPr>
                <w:rFonts w:ascii="David" w:hAnsi="David"/>
                <w:sz w:val="20"/>
                <w:szCs w:val="20"/>
                <w:rtl/>
              </w:rPr>
            </w:pPr>
            <w:proofErr w:type="spellStart"/>
            <w:r w:rsidRPr="00C43143">
              <w:rPr>
                <w:rFonts w:ascii="David" w:hAnsi="David"/>
                <w:sz w:val="20"/>
                <w:szCs w:val="20"/>
                <w:rtl/>
              </w:rPr>
              <w:t>סקסטה</w:t>
            </w:r>
            <w:proofErr w:type="spellEnd"/>
            <w:r w:rsidRPr="00C43143">
              <w:rPr>
                <w:rFonts w:ascii="David" w:hAnsi="David"/>
                <w:sz w:val="20"/>
                <w:szCs w:val="20"/>
                <w:rtl/>
              </w:rPr>
              <w:t xml:space="preserve"> קטנה </w:t>
            </w:r>
          </w:p>
        </w:tc>
        <w:tc>
          <w:tcPr>
            <w:tcW w:w="3283" w:type="dxa"/>
          </w:tcPr>
          <w:p w:rsidR="00771866" w:rsidRPr="00C43143" w:rsidRDefault="00771866" w:rsidP="00805EB0">
            <w:pPr>
              <w:pStyle w:val="a3"/>
              <w:spacing w:after="0"/>
              <w:ind w:left="0"/>
              <w:jc w:val="both"/>
              <w:cnfStyle w:val="000000000000" w:firstRow="0"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 xml:space="preserve">ארבעה טונים </w:t>
            </w:r>
          </w:p>
        </w:tc>
        <w:tc>
          <w:tcPr>
            <w:tcW w:w="2977" w:type="dxa"/>
          </w:tcPr>
          <w:p w:rsidR="00771866" w:rsidRPr="00C43143" w:rsidRDefault="00771866" w:rsidP="00805EB0">
            <w:pPr>
              <w:pStyle w:val="a3"/>
              <w:spacing w:after="0"/>
              <w:ind w:left="0"/>
              <w:jc w:val="both"/>
              <w:cnfStyle w:val="000000000000" w:firstRow="0"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מרווחים קונסוננטיים</w:t>
            </w:r>
          </w:p>
        </w:tc>
      </w:tr>
      <w:tr w:rsidR="00771866" w:rsidRPr="00C43143" w:rsidTr="0080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771866" w:rsidRPr="00C43143" w:rsidRDefault="00771866" w:rsidP="00805EB0">
            <w:pPr>
              <w:pStyle w:val="a3"/>
              <w:spacing w:after="0"/>
              <w:ind w:left="0"/>
              <w:jc w:val="both"/>
              <w:rPr>
                <w:rFonts w:ascii="David" w:hAnsi="David"/>
                <w:sz w:val="20"/>
                <w:szCs w:val="20"/>
                <w:rtl/>
              </w:rPr>
            </w:pPr>
            <w:proofErr w:type="spellStart"/>
            <w:r w:rsidRPr="00C43143">
              <w:rPr>
                <w:rFonts w:ascii="David" w:hAnsi="David"/>
                <w:sz w:val="20"/>
                <w:szCs w:val="20"/>
                <w:rtl/>
              </w:rPr>
              <w:t>סקסטה</w:t>
            </w:r>
            <w:proofErr w:type="spellEnd"/>
            <w:r w:rsidRPr="00C43143">
              <w:rPr>
                <w:rFonts w:ascii="David" w:hAnsi="David"/>
                <w:sz w:val="20"/>
                <w:szCs w:val="20"/>
                <w:rtl/>
              </w:rPr>
              <w:t xml:space="preserve"> גדולה</w:t>
            </w:r>
          </w:p>
        </w:tc>
        <w:tc>
          <w:tcPr>
            <w:tcW w:w="3283" w:type="dxa"/>
          </w:tcPr>
          <w:p w:rsidR="00771866" w:rsidRPr="00C43143" w:rsidRDefault="00771866" w:rsidP="00805EB0">
            <w:pPr>
              <w:pStyle w:val="a3"/>
              <w:spacing w:after="0"/>
              <w:ind w:left="0"/>
              <w:jc w:val="both"/>
              <w:cnfStyle w:val="000000100000" w:firstRow="0" w:lastRow="0" w:firstColumn="0" w:lastColumn="0" w:oddVBand="0" w:evenVBand="0" w:oddHBand="1" w:evenHBand="0" w:firstRowFirstColumn="0" w:firstRowLastColumn="0" w:lastRowFirstColumn="0" w:lastRowLastColumn="0"/>
              <w:rPr>
                <w:rFonts w:ascii="David" w:hAnsi="David"/>
                <w:sz w:val="20"/>
                <w:szCs w:val="20"/>
                <w:rtl/>
              </w:rPr>
            </w:pPr>
            <w:r w:rsidRPr="00C43143">
              <w:rPr>
                <w:rFonts w:ascii="David" w:hAnsi="David"/>
                <w:sz w:val="20"/>
                <w:szCs w:val="20"/>
                <w:rtl/>
              </w:rPr>
              <w:t>ארבעה וחצי טונים</w:t>
            </w:r>
          </w:p>
        </w:tc>
        <w:tc>
          <w:tcPr>
            <w:tcW w:w="2977" w:type="dxa"/>
          </w:tcPr>
          <w:p w:rsidR="00771866" w:rsidRPr="00C43143" w:rsidRDefault="00771866" w:rsidP="00805EB0">
            <w:pPr>
              <w:pStyle w:val="a3"/>
              <w:spacing w:after="0"/>
              <w:ind w:left="0"/>
              <w:jc w:val="both"/>
              <w:cnfStyle w:val="000000100000" w:firstRow="0" w:lastRow="0" w:firstColumn="0" w:lastColumn="0" w:oddVBand="0" w:evenVBand="0" w:oddHBand="1" w:evenHBand="0" w:firstRowFirstColumn="0" w:firstRowLastColumn="0" w:lastRowFirstColumn="0" w:lastRowLastColumn="0"/>
              <w:rPr>
                <w:rFonts w:ascii="David" w:hAnsi="David"/>
                <w:sz w:val="20"/>
                <w:szCs w:val="20"/>
                <w:rtl/>
              </w:rPr>
            </w:pPr>
            <w:r w:rsidRPr="00C43143">
              <w:rPr>
                <w:rFonts w:ascii="David" w:hAnsi="David"/>
                <w:sz w:val="20"/>
                <w:szCs w:val="20"/>
                <w:rtl/>
              </w:rPr>
              <w:t>מרווחים קונסוננטיים</w:t>
            </w:r>
          </w:p>
        </w:tc>
      </w:tr>
      <w:tr w:rsidR="00771866" w:rsidRPr="00C43143" w:rsidTr="00805EB0">
        <w:tc>
          <w:tcPr>
            <w:cnfStyle w:val="001000000000" w:firstRow="0" w:lastRow="0" w:firstColumn="1" w:lastColumn="0" w:oddVBand="0" w:evenVBand="0" w:oddHBand="0" w:evenHBand="0" w:firstRowFirstColumn="0" w:firstRowLastColumn="0" w:lastRowFirstColumn="0" w:lastRowLastColumn="0"/>
            <w:tcW w:w="1916" w:type="dxa"/>
          </w:tcPr>
          <w:p w:rsidR="00771866" w:rsidRPr="00C43143" w:rsidRDefault="00771866" w:rsidP="00805EB0">
            <w:pPr>
              <w:pStyle w:val="a3"/>
              <w:spacing w:after="0"/>
              <w:ind w:left="0"/>
              <w:jc w:val="both"/>
              <w:rPr>
                <w:rFonts w:ascii="David" w:hAnsi="David"/>
                <w:sz w:val="20"/>
                <w:szCs w:val="20"/>
                <w:rtl/>
              </w:rPr>
            </w:pPr>
            <w:proofErr w:type="spellStart"/>
            <w:r w:rsidRPr="00C43143">
              <w:rPr>
                <w:rFonts w:ascii="David" w:hAnsi="David"/>
                <w:sz w:val="20"/>
                <w:szCs w:val="20"/>
                <w:rtl/>
              </w:rPr>
              <w:t>ספטימה</w:t>
            </w:r>
            <w:proofErr w:type="spellEnd"/>
            <w:r w:rsidRPr="00C43143">
              <w:rPr>
                <w:rFonts w:ascii="David" w:hAnsi="David"/>
                <w:sz w:val="20"/>
                <w:szCs w:val="20"/>
                <w:rtl/>
              </w:rPr>
              <w:t xml:space="preserve"> קטנה</w:t>
            </w:r>
          </w:p>
        </w:tc>
        <w:tc>
          <w:tcPr>
            <w:tcW w:w="3283" w:type="dxa"/>
          </w:tcPr>
          <w:p w:rsidR="00771866" w:rsidRPr="00C43143" w:rsidRDefault="00771866" w:rsidP="00805EB0">
            <w:pPr>
              <w:pStyle w:val="a3"/>
              <w:spacing w:after="0"/>
              <w:ind w:left="0"/>
              <w:jc w:val="both"/>
              <w:cnfStyle w:val="000000000000" w:firstRow="0"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חמישה טונים</w:t>
            </w:r>
          </w:p>
        </w:tc>
        <w:tc>
          <w:tcPr>
            <w:tcW w:w="2977" w:type="dxa"/>
          </w:tcPr>
          <w:p w:rsidR="00771866" w:rsidRPr="00C43143" w:rsidRDefault="00771866" w:rsidP="00805EB0">
            <w:pPr>
              <w:pStyle w:val="a3"/>
              <w:spacing w:after="0"/>
              <w:ind w:left="0"/>
              <w:jc w:val="both"/>
              <w:cnfStyle w:val="000000000000" w:firstRow="0"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מרווחים דיסוננטיים</w:t>
            </w:r>
          </w:p>
        </w:tc>
      </w:tr>
      <w:tr w:rsidR="00771866" w:rsidRPr="00C43143" w:rsidTr="0080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771866" w:rsidRPr="00C43143" w:rsidRDefault="00771866" w:rsidP="00805EB0">
            <w:pPr>
              <w:pStyle w:val="a3"/>
              <w:spacing w:after="0"/>
              <w:ind w:left="0"/>
              <w:jc w:val="both"/>
              <w:rPr>
                <w:rFonts w:ascii="David" w:hAnsi="David"/>
                <w:sz w:val="20"/>
                <w:szCs w:val="20"/>
                <w:rtl/>
              </w:rPr>
            </w:pPr>
            <w:proofErr w:type="spellStart"/>
            <w:r w:rsidRPr="00C43143">
              <w:rPr>
                <w:rFonts w:ascii="David" w:hAnsi="David"/>
                <w:sz w:val="20"/>
                <w:szCs w:val="20"/>
                <w:rtl/>
              </w:rPr>
              <w:t>ספטימה</w:t>
            </w:r>
            <w:proofErr w:type="spellEnd"/>
            <w:r w:rsidRPr="00C43143">
              <w:rPr>
                <w:rFonts w:ascii="David" w:hAnsi="David"/>
                <w:sz w:val="20"/>
                <w:szCs w:val="20"/>
                <w:rtl/>
              </w:rPr>
              <w:t xml:space="preserve"> גדולה</w:t>
            </w:r>
          </w:p>
        </w:tc>
        <w:tc>
          <w:tcPr>
            <w:tcW w:w="3283" w:type="dxa"/>
          </w:tcPr>
          <w:p w:rsidR="00771866" w:rsidRPr="00C43143" w:rsidRDefault="00771866" w:rsidP="00805EB0">
            <w:pPr>
              <w:pStyle w:val="a3"/>
              <w:spacing w:after="0"/>
              <w:ind w:left="0"/>
              <w:jc w:val="both"/>
              <w:cnfStyle w:val="000000100000" w:firstRow="0" w:lastRow="0" w:firstColumn="0" w:lastColumn="0" w:oddVBand="0" w:evenVBand="0" w:oddHBand="1" w:evenHBand="0" w:firstRowFirstColumn="0" w:firstRowLastColumn="0" w:lastRowFirstColumn="0" w:lastRowLastColumn="0"/>
              <w:rPr>
                <w:rFonts w:ascii="David" w:hAnsi="David"/>
                <w:sz w:val="20"/>
                <w:szCs w:val="20"/>
                <w:rtl/>
              </w:rPr>
            </w:pPr>
            <w:r w:rsidRPr="00C43143">
              <w:rPr>
                <w:rFonts w:ascii="David" w:hAnsi="David"/>
                <w:sz w:val="20"/>
                <w:szCs w:val="20"/>
                <w:rtl/>
              </w:rPr>
              <w:t xml:space="preserve">חמישה וחצי טונים </w:t>
            </w:r>
          </w:p>
        </w:tc>
        <w:tc>
          <w:tcPr>
            <w:tcW w:w="2977" w:type="dxa"/>
          </w:tcPr>
          <w:p w:rsidR="00771866" w:rsidRPr="00C43143" w:rsidRDefault="00771866" w:rsidP="00805EB0">
            <w:pPr>
              <w:pStyle w:val="a3"/>
              <w:spacing w:after="0"/>
              <w:ind w:left="0"/>
              <w:jc w:val="both"/>
              <w:cnfStyle w:val="000000100000" w:firstRow="0" w:lastRow="0" w:firstColumn="0" w:lastColumn="0" w:oddVBand="0" w:evenVBand="0" w:oddHBand="1" w:evenHBand="0" w:firstRowFirstColumn="0" w:firstRowLastColumn="0" w:lastRowFirstColumn="0" w:lastRowLastColumn="0"/>
              <w:rPr>
                <w:rFonts w:ascii="David" w:hAnsi="David"/>
                <w:sz w:val="20"/>
                <w:szCs w:val="20"/>
                <w:rtl/>
              </w:rPr>
            </w:pPr>
            <w:r w:rsidRPr="00C43143">
              <w:rPr>
                <w:rFonts w:ascii="David" w:hAnsi="David"/>
                <w:sz w:val="20"/>
                <w:szCs w:val="20"/>
                <w:rtl/>
              </w:rPr>
              <w:t>מרווחים דיסוננטיים</w:t>
            </w:r>
          </w:p>
        </w:tc>
      </w:tr>
      <w:tr w:rsidR="00771866" w:rsidRPr="00C43143" w:rsidTr="00805EB0">
        <w:tc>
          <w:tcPr>
            <w:cnfStyle w:val="001000000000" w:firstRow="0" w:lastRow="0" w:firstColumn="1" w:lastColumn="0" w:oddVBand="0" w:evenVBand="0" w:oddHBand="0" w:evenHBand="0" w:firstRowFirstColumn="0" w:firstRowLastColumn="0" w:lastRowFirstColumn="0" w:lastRowLastColumn="0"/>
            <w:tcW w:w="1916" w:type="dxa"/>
          </w:tcPr>
          <w:p w:rsidR="00771866" w:rsidRPr="00C43143" w:rsidRDefault="00771866" w:rsidP="00805EB0">
            <w:pPr>
              <w:pStyle w:val="a3"/>
              <w:spacing w:after="0"/>
              <w:ind w:left="0"/>
              <w:jc w:val="both"/>
              <w:rPr>
                <w:rFonts w:ascii="David" w:hAnsi="David"/>
                <w:sz w:val="20"/>
                <w:szCs w:val="20"/>
                <w:rtl/>
              </w:rPr>
            </w:pPr>
            <w:r w:rsidRPr="00C43143">
              <w:rPr>
                <w:rFonts w:ascii="David" w:hAnsi="David"/>
                <w:sz w:val="20"/>
                <w:szCs w:val="20"/>
                <w:rtl/>
              </w:rPr>
              <w:t>אוקטבה</w:t>
            </w:r>
          </w:p>
        </w:tc>
        <w:tc>
          <w:tcPr>
            <w:tcW w:w="3283" w:type="dxa"/>
          </w:tcPr>
          <w:p w:rsidR="00771866" w:rsidRPr="00C43143" w:rsidRDefault="00771866" w:rsidP="00805EB0">
            <w:pPr>
              <w:pStyle w:val="a3"/>
              <w:spacing w:after="0"/>
              <w:ind w:left="0"/>
              <w:jc w:val="both"/>
              <w:cnfStyle w:val="000000000000" w:firstRow="0"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 xml:space="preserve">שישה טונים (שנים-עשר חצאי טונים) </w:t>
            </w:r>
          </w:p>
        </w:tc>
        <w:tc>
          <w:tcPr>
            <w:tcW w:w="2977" w:type="dxa"/>
          </w:tcPr>
          <w:p w:rsidR="00771866" w:rsidRPr="00C43143" w:rsidRDefault="00771866" w:rsidP="00805EB0">
            <w:pPr>
              <w:pStyle w:val="a3"/>
              <w:spacing w:after="0"/>
              <w:ind w:left="0"/>
              <w:jc w:val="both"/>
              <w:cnfStyle w:val="000000000000" w:firstRow="0" w:lastRow="0" w:firstColumn="0" w:lastColumn="0" w:oddVBand="0" w:evenVBand="0" w:oddHBand="0" w:evenHBand="0" w:firstRowFirstColumn="0" w:firstRowLastColumn="0" w:lastRowFirstColumn="0" w:lastRowLastColumn="0"/>
              <w:rPr>
                <w:rFonts w:ascii="David" w:hAnsi="David"/>
                <w:sz w:val="20"/>
                <w:szCs w:val="20"/>
                <w:rtl/>
              </w:rPr>
            </w:pPr>
            <w:r w:rsidRPr="00C43143">
              <w:rPr>
                <w:rFonts w:ascii="David" w:hAnsi="David"/>
                <w:sz w:val="20"/>
                <w:szCs w:val="20"/>
                <w:rtl/>
              </w:rPr>
              <w:t>מרווחים זכים</w:t>
            </w:r>
          </w:p>
        </w:tc>
      </w:tr>
    </w:tbl>
    <w:p w:rsidR="00771866" w:rsidRPr="00C43143" w:rsidRDefault="00771866" w:rsidP="00771866">
      <w:pPr>
        <w:pStyle w:val="a3"/>
        <w:ind w:left="360"/>
        <w:jc w:val="both"/>
        <w:rPr>
          <w:rFonts w:ascii="David" w:hAnsi="David"/>
          <w:rtl/>
        </w:rPr>
      </w:pPr>
    </w:p>
    <w:p w:rsidR="00771866" w:rsidRPr="00C43143" w:rsidRDefault="00771866" w:rsidP="00771866">
      <w:pPr>
        <w:pStyle w:val="a3"/>
        <w:ind w:left="360"/>
        <w:jc w:val="both"/>
        <w:rPr>
          <w:rFonts w:ascii="David" w:hAnsi="David"/>
        </w:rPr>
      </w:pPr>
      <w:r w:rsidRPr="00C43143">
        <w:rPr>
          <w:rFonts w:ascii="David" w:hAnsi="David"/>
          <w:rtl/>
        </w:rPr>
        <w:t xml:space="preserve">הערה: המרווחים נמדדים הן במרחק ביחידות של גובה הצליל האבסולוטי (חצאי טונים) והן בסימול התווי ע"י המרחק בין התווים בסולם הכרומטי, למשל המרחק האבסולוטי בין דו-דיאז לבין מי-במול הוא טון, אולם מאחר שבסולם הכרומטי של שנים-עשר הצלילים, יש בין דו למי את התו רה, המרווח הזה של טון לא יסווג כסקונדה גדולה, אלא כטרצה קטנה מוקטנת. </w:t>
      </w:r>
    </w:p>
    <w:p w:rsidR="00771866" w:rsidRDefault="00771866" w:rsidP="00771866">
      <w:pPr>
        <w:pStyle w:val="a3"/>
        <w:ind w:left="360"/>
        <w:jc w:val="both"/>
        <w:rPr>
          <w:rFonts w:ascii="David" w:hAnsi="David"/>
          <w:b/>
          <w:bCs/>
          <w:u w:val="single"/>
          <w:rtl/>
        </w:rPr>
      </w:pPr>
    </w:p>
    <w:p w:rsidR="002824CC" w:rsidRPr="00C43143" w:rsidRDefault="002824CC" w:rsidP="00771866">
      <w:pPr>
        <w:pStyle w:val="a3"/>
        <w:ind w:left="360"/>
        <w:jc w:val="both"/>
        <w:rPr>
          <w:rFonts w:ascii="David" w:hAnsi="David"/>
          <w:b/>
          <w:bCs/>
          <w:u w:val="single"/>
        </w:rPr>
      </w:pPr>
      <w:bookmarkStart w:id="2" w:name="_GoBack"/>
      <w:bookmarkEnd w:id="2"/>
    </w:p>
    <w:p w:rsidR="00771866" w:rsidRPr="00C43143" w:rsidRDefault="00771866" w:rsidP="00771866">
      <w:pPr>
        <w:pStyle w:val="a3"/>
        <w:numPr>
          <w:ilvl w:val="0"/>
          <w:numId w:val="3"/>
        </w:numPr>
        <w:jc w:val="both"/>
        <w:rPr>
          <w:rFonts w:ascii="David" w:hAnsi="David"/>
          <w:b/>
          <w:bCs/>
          <w:u w:val="single"/>
        </w:rPr>
      </w:pPr>
      <w:r w:rsidRPr="00C43143">
        <w:rPr>
          <w:rFonts w:ascii="David" w:hAnsi="David"/>
          <w:b/>
          <w:bCs/>
          <w:u w:val="single"/>
          <w:rtl/>
        </w:rPr>
        <w:lastRenderedPageBreak/>
        <w:t xml:space="preserve">סולמות, טונאליות ודרגות הרמוניות </w:t>
      </w:r>
    </w:p>
    <w:p w:rsidR="00771866" w:rsidRPr="00C43143" w:rsidRDefault="00771866" w:rsidP="00771866">
      <w:pPr>
        <w:spacing w:after="0"/>
        <w:ind w:left="360"/>
        <w:jc w:val="both"/>
        <w:rPr>
          <w:rFonts w:ascii="David" w:hAnsi="David"/>
          <w:rtl/>
        </w:rPr>
      </w:pPr>
      <w:r w:rsidRPr="00C43143">
        <w:rPr>
          <w:rFonts w:ascii="David" w:hAnsi="David"/>
          <w:rtl/>
        </w:rPr>
        <w:t>סולם הוא סדרה מחזורית של מרווחים, הקובעת איזשהו יחס סדר בין צלילים, שמרחקם זה מזה מוכתב ע"י סדרת המרווחים של הסולם. במוסיקה הטונאלית המערבית, בכל סולם שכזה יש צליל אחד שהוא "השליט" בסולם, הוא נשמע הכי טוב וטבעי בקונטקסט רצף הצלילים שבסולם: הצלילים בסולם נמצאים באינטראקציה הדדית תמידי של יצירת מתח ופתרונו ע"י רגיעה, והרגיעה או אתנחתא הגדולה ביותר שכל הרצפים בסולם שואפים אליה היא כאשר מתנגן הצליל ה-"שליט" של הסולם. צליל זה מכונה ה-</w:t>
      </w:r>
      <w:r w:rsidRPr="00C43143">
        <w:rPr>
          <w:rFonts w:ascii="David" w:hAnsi="David"/>
          <w:b/>
          <w:bCs/>
          <w:rtl/>
        </w:rPr>
        <w:t>"טוניקה"</w:t>
      </w:r>
      <w:r w:rsidRPr="00C43143">
        <w:rPr>
          <w:rFonts w:ascii="David" w:hAnsi="David"/>
          <w:rtl/>
        </w:rPr>
        <w:t xml:space="preserve">.  צליל הטוניקה משתמש גם כשורש הסולם, דהיינו כצליל שממנו מתחילים את סדר רצף המרווחים, שקובע בהתאמה את הרכב הצלילים בסולם. </w:t>
      </w:r>
    </w:p>
    <w:p w:rsidR="00771866" w:rsidRPr="00C43143" w:rsidRDefault="00771866" w:rsidP="00771866">
      <w:pPr>
        <w:spacing w:after="0"/>
        <w:ind w:left="360"/>
        <w:jc w:val="both"/>
        <w:rPr>
          <w:rFonts w:ascii="David" w:hAnsi="David"/>
          <w:rtl/>
        </w:rPr>
      </w:pPr>
      <w:r w:rsidRPr="00C43143">
        <w:rPr>
          <w:rFonts w:ascii="David" w:hAnsi="David"/>
          <w:rtl/>
        </w:rPr>
        <w:t xml:space="preserve">לאוסף הצלילים בסולם מיחסים דרגות, ע"פ מיקומם היחסי ברצף הצלילים שבסולם ביחס לטוניקה: תו הטוניקה עצמו הוא דרגה ראשונה, התו שרחוק ממנו במרחק הנקבע ע"י המרווח הראשון בסדרת המרווחים של הסולם הוא דרגה שנייה וכל הלאה. על בסיס דרגות אלו בונים </w:t>
      </w:r>
      <w:r w:rsidRPr="00C43143">
        <w:rPr>
          <w:rFonts w:ascii="David" w:hAnsi="David"/>
          <w:b/>
          <w:bCs/>
          <w:rtl/>
        </w:rPr>
        <w:t>אקורדים</w:t>
      </w:r>
      <w:r w:rsidRPr="00C43143">
        <w:rPr>
          <w:rFonts w:ascii="David" w:hAnsi="David"/>
          <w:rtl/>
        </w:rPr>
        <w:t xml:space="preserve">, רצפי שלושה תווים שונים או יותר המנוגנים יחדיו. כל סולם מכתיב אקורדים הנגזרים מהדרגות שלו כדלקמן: לכל דרגה (תו) בסולם מוסיפים את התווים שנמצאים ממנו במרחק של </w:t>
      </w:r>
      <w:r w:rsidRPr="00C43143">
        <w:rPr>
          <w:rFonts w:ascii="David" w:hAnsi="David"/>
        </w:rPr>
        <w:t xml:space="preserve">3,5 </w:t>
      </w:r>
      <w:r w:rsidRPr="00C43143">
        <w:rPr>
          <w:rFonts w:ascii="David" w:hAnsi="David"/>
          <w:rtl/>
        </w:rPr>
        <w:t xml:space="preserve"> ו-7, במובנים של דרגות. לאקורדים הנוצרים באופן זה קוראים </w:t>
      </w:r>
      <w:r w:rsidRPr="00C43143">
        <w:rPr>
          <w:rFonts w:ascii="David" w:hAnsi="David"/>
          <w:b/>
          <w:bCs/>
          <w:rtl/>
        </w:rPr>
        <w:t>דרגות הרמוניות</w:t>
      </w:r>
      <w:r w:rsidRPr="00C43143">
        <w:rPr>
          <w:rFonts w:ascii="David" w:hAnsi="David"/>
          <w:rtl/>
        </w:rPr>
        <w:t>. להלן דוגמה של הדרגות ההרמוניות הנגזרות מהסולם דו-מז'ור, הנקבע ע"י סדרת המרווחים: טון-טון, חצי טון, טון, טון, טון, חצי טון, שמושרש בתו דו (כלומר, סדרת המרווחים קובעת סולם מז'ור כלשהו, וכאשר משרישים סדרה זו בדו בתור צלילי הטוניקה, מתקבל הסולם דו-</w:t>
      </w:r>
      <w:proofErr w:type="spellStart"/>
      <w:r w:rsidRPr="00C43143">
        <w:rPr>
          <w:rFonts w:ascii="David" w:hAnsi="David"/>
          <w:rtl/>
        </w:rPr>
        <w:t>מזו'ר</w:t>
      </w:r>
      <w:proofErr w:type="spellEnd"/>
      <w:r w:rsidRPr="00C43143">
        <w:rPr>
          <w:rFonts w:ascii="David" w:hAnsi="David"/>
          <w:rtl/>
        </w:rPr>
        <w:t xml:space="preserve">) – </w:t>
      </w:r>
    </w:p>
    <w:p w:rsidR="00771866" w:rsidRPr="00C43143" w:rsidRDefault="00771866" w:rsidP="00771866">
      <w:pPr>
        <w:spacing w:after="0"/>
        <w:ind w:left="360"/>
        <w:jc w:val="both"/>
        <w:rPr>
          <w:rFonts w:ascii="David" w:hAnsi="David"/>
        </w:rPr>
      </w:pPr>
      <w:r w:rsidRPr="00C43143">
        <w:rPr>
          <w:rFonts w:ascii="David" w:hAnsi="David"/>
          <w:noProof/>
          <w:rtl/>
        </w:rPr>
        <w:drawing>
          <wp:inline distT="0" distB="0" distL="0" distR="0" wp14:anchorId="50096D67" wp14:editId="14B6DC1E">
            <wp:extent cx="5034753" cy="804441"/>
            <wp:effectExtent l="19050" t="19050" r="13970" b="1524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BEBA8EAE-BF5A-486C-A8C5-ECC9F3942E4B}">
                          <a14:imgProps xmlns:a14="http://schemas.microsoft.com/office/drawing/2010/main">
                            <a14:imgLayer r:embed="rId30">
                              <a14:imgEffect>
                                <a14:colorTemperature colorTemp="8800"/>
                              </a14:imgEffect>
                            </a14:imgLayer>
                          </a14:imgProps>
                        </a:ext>
                      </a:extLst>
                    </a:blip>
                    <a:stretch>
                      <a:fillRect/>
                    </a:stretch>
                  </pic:blipFill>
                  <pic:spPr>
                    <a:xfrm>
                      <a:off x="0" y="0"/>
                      <a:ext cx="5050706" cy="806990"/>
                    </a:xfrm>
                    <a:prstGeom prst="rect">
                      <a:avLst/>
                    </a:prstGeom>
                    <a:ln>
                      <a:solidFill>
                        <a:schemeClr val="accent1"/>
                      </a:solidFill>
                    </a:ln>
                  </pic:spPr>
                </pic:pic>
              </a:graphicData>
            </a:graphic>
          </wp:inline>
        </w:drawing>
      </w:r>
    </w:p>
    <w:p w:rsidR="00771866" w:rsidRPr="00C43143" w:rsidRDefault="00771866" w:rsidP="00771866">
      <w:pPr>
        <w:spacing w:after="0"/>
        <w:ind w:left="360"/>
        <w:jc w:val="both"/>
        <w:rPr>
          <w:rFonts w:ascii="David" w:hAnsi="David"/>
          <w:rtl/>
        </w:rPr>
      </w:pPr>
    </w:p>
    <w:p w:rsidR="00771866" w:rsidRPr="00C43143" w:rsidRDefault="00771866" w:rsidP="00771866">
      <w:pPr>
        <w:spacing w:after="0"/>
        <w:ind w:left="360"/>
        <w:jc w:val="both"/>
        <w:rPr>
          <w:rFonts w:ascii="David" w:hAnsi="David"/>
          <w:rtl/>
        </w:rPr>
      </w:pPr>
      <w:r w:rsidRPr="00C43143">
        <w:rPr>
          <w:rFonts w:ascii="David" w:hAnsi="David"/>
          <w:rtl/>
        </w:rPr>
        <w:t xml:space="preserve">לפיכך, כל סולם מכתיב אוסף צלילים ואקורדים. ישנם סולמות שונים בעלי תתי-קבוצות משותפות של צלילים, לכן בהינתן אקורד מסוים, לא ניתן לבצע את המיפוי בכיוון ההפוך ולשייכו באופן חד-חד ערכי לסולם ספציפי, כי אם למספר סולמות שונים. </w:t>
      </w:r>
    </w:p>
    <w:p w:rsidR="00A76692" w:rsidRDefault="00A76692"/>
    <w:sectPr w:rsidR="00A76692" w:rsidSect="002824CC">
      <w:headerReference w:type="even" r:id="rId31"/>
      <w:headerReference w:type="default" r:id="rId32"/>
      <w:footerReference w:type="even" r:id="rId33"/>
      <w:footerReference w:type="default" r:id="rId34"/>
      <w:headerReference w:type="first" r:id="rId35"/>
      <w:footerReference w:type="first" r:id="rId36"/>
      <w:pgSz w:w="11906" w:h="16838"/>
      <w:pgMar w:top="709" w:right="1797" w:bottom="709" w:left="1797" w:header="284" w:footer="284"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51B" w:rsidRDefault="00F1151B" w:rsidP="00771866">
      <w:pPr>
        <w:spacing w:after="0" w:line="240" w:lineRule="auto"/>
      </w:pPr>
      <w:r>
        <w:separator/>
      </w:r>
    </w:p>
  </w:endnote>
  <w:endnote w:type="continuationSeparator" w:id="0">
    <w:p w:rsidR="00F1151B" w:rsidRDefault="00F1151B" w:rsidP="00771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4CC" w:rsidRDefault="002824C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4CC" w:rsidRDefault="002824CC">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4CC" w:rsidRDefault="002824C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51B" w:rsidRDefault="00F1151B" w:rsidP="00771866">
      <w:pPr>
        <w:spacing w:after="0" w:line="240" w:lineRule="auto"/>
      </w:pPr>
      <w:r>
        <w:separator/>
      </w:r>
    </w:p>
  </w:footnote>
  <w:footnote w:type="continuationSeparator" w:id="0">
    <w:p w:rsidR="00F1151B" w:rsidRDefault="00F1151B" w:rsidP="00771866">
      <w:pPr>
        <w:spacing w:after="0" w:line="240" w:lineRule="auto"/>
      </w:pPr>
      <w:r>
        <w:continuationSeparator/>
      </w:r>
    </w:p>
  </w:footnote>
  <w:footnote w:id="1">
    <w:p w:rsidR="00771866" w:rsidRDefault="00771866" w:rsidP="00771866">
      <w:pPr>
        <w:pStyle w:val="a4"/>
        <w:rPr>
          <w:rtl/>
        </w:rPr>
      </w:pPr>
      <w:r>
        <w:rPr>
          <w:rStyle w:val="a6"/>
        </w:rPr>
        <w:footnoteRef/>
      </w:r>
      <w:r>
        <w:rPr>
          <w:rtl/>
        </w:rPr>
        <w:t xml:space="preserve"> </w:t>
      </w:r>
      <w:r w:rsidRPr="00047A2B">
        <w:rPr>
          <w:rFonts w:hint="cs"/>
          <w:sz w:val="16"/>
          <w:szCs w:val="16"/>
          <w:rtl/>
        </w:rPr>
        <w:t xml:space="preserve">מפתח סול מציין שמיקום התו </w:t>
      </w:r>
      <w:r w:rsidRPr="00047A2B">
        <w:rPr>
          <w:sz w:val="16"/>
          <w:szCs w:val="16"/>
        </w:rPr>
        <w:t>G4</w:t>
      </w:r>
      <w:r w:rsidRPr="00047A2B">
        <w:rPr>
          <w:rFonts w:hint="cs"/>
          <w:sz w:val="16"/>
          <w:szCs w:val="16"/>
          <w:rtl/>
        </w:rPr>
        <w:t xml:space="preserve"> (סול באוקטבה רביעית) על פני החמשה הוא השורה השנייה מלמטה בחמשה.</w:t>
      </w:r>
    </w:p>
  </w:footnote>
  <w:footnote w:id="2">
    <w:p w:rsidR="00771866" w:rsidRPr="00987521" w:rsidRDefault="00771866" w:rsidP="00771866">
      <w:pPr>
        <w:pStyle w:val="a4"/>
        <w:rPr>
          <w:rFonts w:asciiTheme="majorBidi" w:hAnsiTheme="majorBidi" w:cstheme="majorBidi"/>
          <w:sz w:val="16"/>
          <w:szCs w:val="16"/>
          <w:rtl/>
        </w:rPr>
      </w:pPr>
      <w:r w:rsidRPr="00987521">
        <w:rPr>
          <w:rStyle w:val="a6"/>
          <w:rFonts w:asciiTheme="majorBidi" w:hAnsiTheme="majorBidi" w:cstheme="majorBidi"/>
          <w:sz w:val="16"/>
          <w:szCs w:val="16"/>
        </w:rPr>
        <w:footnoteRef/>
      </w:r>
      <w:r w:rsidRPr="00987521">
        <w:rPr>
          <w:rFonts w:asciiTheme="majorBidi" w:hAnsiTheme="majorBidi" w:cstheme="majorBidi"/>
          <w:sz w:val="16"/>
          <w:szCs w:val="16"/>
          <w:rtl/>
        </w:rPr>
        <w:t xml:space="preserve"> </w:t>
      </w:r>
      <w:r w:rsidRPr="00987521">
        <w:rPr>
          <w:rFonts w:asciiTheme="majorBidi" w:hAnsiTheme="majorBidi" w:cstheme="majorBidi"/>
          <w:sz w:val="16"/>
          <w:szCs w:val="16"/>
        </w:rPr>
        <w:t>BPM  = Beats Per Minute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4CC" w:rsidRDefault="002824CC">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4CC" w:rsidRDefault="002824CC">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4CC" w:rsidRDefault="002824CC">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B0799"/>
    <w:multiLevelType w:val="multilevel"/>
    <w:tmpl w:val="0409001F"/>
    <w:lvl w:ilvl="0">
      <w:start w:val="1"/>
      <w:numFmt w:val="decimal"/>
      <w:lvlText w:val="%1."/>
      <w:lvlJc w:val="left"/>
      <w:pPr>
        <w:ind w:left="644" w:hanging="360"/>
      </w:pPr>
      <w:rPr>
        <w:rFonts w:hint="default"/>
      </w:r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
    <w:nsid w:val="45964C4E"/>
    <w:multiLevelType w:val="hybridMultilevel"/>
    <w:tmpl w:val="CD8C2310"/>
    <w:lvl w:ilvl="0" w:tplc="04090003">
      <w:start w:val="1"/>
      <w:numFmt w:val="bullet"/>
      <w:lvlText w:val="o"/>
      <w:lvlJc w:val="left"/>
      <w:pPr>
        <w:ind w:left="360" w:hanging="360"/>
      </w:pPr>
      <w:rPr>
        <w:rFonts w:ascii="Courier New" w:hAnsi="Courier New" w:cs="Courier New" w:hint="default"/>
        <w:lang w:bidi="he-I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02F33B6"/>
    <w:multiLevelType w:val="multilevel"/>
    <w:tmpl w:val="1234D08A"/>
    <w:lvl w:ilvl="0">
      <w:start w:val="1"/>
      <w:numFmt w:val="decimal"/>
      <w:pStyle w:val="1"/>
      <w:lvlText w:val="%1"/>
      <w:lvlJc w:val="left"/>
      <w:pPr>
        <w:ind w:left="432" w:hanging="432"/>
      </w:pPr>
      <w:rPr>
        <w:rFonts w:ascii="David" w:hAnsi="David" w:cs="David" w:hint="default"/>
      </w:rPr>
    </w:lvl>
    <w:lvl w:ilvl="1">
      <w:start w:val="1"/>
      <w:numFmt w:val="decimal"/>
      <w:pStyle w:val="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004" w:hanging="720"/>
      </w:pPr>
      <w:rPr>
        <w:rFonts w:ascii="David" w:hAnsi="David" w:cs="David"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856" w:hanging="864"/>
      </w:pPr>
      <w:rPr>
        <w:rFonts w:ascii="David" w:hAnsi="David" w:cs="David" w:hint="default"/>
        <w:b/>
        <w:bCs/>
        <w:i/>
        <w:iCs w:val="0"/>
        <w:sz w:val="22"/>
        <w:szCs w:val="22"/>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866"/>
    <w:rsid w:val="000C32A6"/>
    <w:rsid w:val="002824CC"/>
    <w:rsid w:val="00771866"/>
    <w:rsid w:val="00A76692"/>
    <w:rsid w:val="00B62472"/>
    <w:rsid w:val="00F115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D6E1D1-EE60-418C-A53E-84DC273B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1866"/>
    <w:pPr>
      <w:bidi/>
      <w:spacing w:after="80" w:line="276" w:lineRule="auto"/>
    </w:pPr>
    <w:rPr>
      <w:rFonts w:eastAsia="MS Mincho" w:cs="David"/>
      <w:szCs w:val="24"/>
    </w:rPr>
  </w:style>
  <w:style w:type="paragraph" w:styleId="1">
    <w:name w:val="heading 1"/>
    <w:basedOn w:val="a"/>
    <w:next w:val="a"/>
    <w:link w:val="10"/>
    <w:uiPriority w:val="9"/>
    <w:qFormat/>
    <w:rsid w:val="00771866"/>
    <w:pPr>
      <w:keepNext/>
      <w:keepLines/>
      <w:numPr>
        <w:numId w:val="1"/>
      </w:numPr>
      <w:spacing w:after="0"/>
      <w:outlineLvl w:val="0"/>
    </w:pPr>
    <w:rPr>
      <w:rFonts w:asciiTheme="majorHAnsi" w:eastAsiaTheme="majorEastAsia" w:hAnsiTheme="majorHAnsi"/>
      <w:b/>
      <w:bCs/>
      <w:color w:val="1F4E79" w:themeColor="accent1" w:themeShade="80"/>
      <w:sz w:val="28"/>
      <w:szCs w:val="32"/>
      <w:u w:val="single"/>
    </w:rPr>
  </w:style>
  <w:style w:type="paragraph" w:styleId="2">
    <w:name w:val="heading 2"/>
    <w:basedOn w:val="1"/>
    <w:next w:val="a"/>
    <w:link w:val="20"/>
    <w:uiPriority w:val="9"/>
    <w:unhideWhenUsed/>
    <w:qFormat/>
    <w:rsid w:val="00771866"/>
    <w:pPr>
      <w:numPr>
        <w:ilvl w:val="1"/>
      </w:numPr>
      <w:spacing w:before="200" w:after="240"/>
      <w:outlineLvl w:val="1"/>
    </w:pPr>
    <w:rPr>
      <w:rFonts w:ascii="David" w:hAnsi="David"/>
      <w:b w:val="0"/>
      <w:sz w:val="26"/>
      <w:szCs w:val="28"/>
    </w:rPr>
  </w:style>
  <w:style w:type="paragraph" w:styleId="3">
    <w:name w:val="heading 3"/>
    <w:basedOn w:val="2"/>
    <w:next w:val="a"/>
    <w:link w:val="30"/>
    <w:autoRedefine/>
    <w:uiPriority w:val="9"/>
    <w:unhideWhenUsed/>
    <w:qFormat/>
    <w:rsid w:val="00771866"/>
    <w:pPr>
      <w:numPr>
        <w:ilvl w:val="2"/>
      </w:numPr>
      <w:spacing w:before="120" w:after="120" w:line="240" w:lineRule="auto"/>
      <w:ind w:left="1440"/>
      <w:outlineLvl w:val="2"/>
    </w:pPr>
    <w:rPr>
      <w:b/>
      <w:color w:val="000000" w:themeColor="text1"/>
      <w:szCs w:val="26"/>
    </w:rPr>
  </w:style>
  <w:style w:type="paragraph" w:styleId="4">
    <w:name w:val="heading 4"/>
    <w:basedOn w:val="3"/>
    <w:next w:val="a"/>
    <w:link w:val="40"/>
    <w:uiPriority w:val="9"/>
    <w:unhideWhenUsed/>
    <w:qFormat/>
    <w:rsid w:val="00771866"/>
    <w:pPr>
      <w:numPr>
        <w:ilvl w:val="3"/>
      </w:numPr>
      <w:spacing w:before="200" w:after="0"/>
      <w:ind w:left="1996" w:hanging="862"/>
      <w:outlineLvl w:val="3"/>
    </w:pPr>
    <w:rPr>
      <w:rFonts w:asciiTheme="majorHAnsi" w:hAnsiTheme="majorHAnsi"/>
      <w:b w:val="0"/>
      <w:i/>
      <w:color w:val="auto"/>
      <w:szCs w:val="22"/>
    </w:rPr>
  </w:style>
  <w:style w:type="paragraph" w:styleId="5">
    <w:name w:val="heading 5"/>
    <w:basedOn w:val="a"/>
    <w:next w:val="a"/>
    <w:link w:val="50"/>
    <w:uiPriority w:val="9"/>
    <w:unhideWhenUsed/>
    <w:qFormat/>
    <w:rsid w:val="0077186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77186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77186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7186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7186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71866"/>
    <w:rPr>
      <w:rFonts w:asciiTheme="majorHAnsi" w:eastAsiaTheme="majorEastAsia" w:hAnsiTheme="majorHAnsi" w:cs="David"/>
      <w:b/>
      <w:bCs/>
      <w:color w:val="1F4E79" w:themeColor="accent1" w:themeShade="80"/>
      <w:sz w:val="28"/>
      <w:szCs w:val="32"/>
      <w:u w:val="single"/>
    </w:rPr>
  </w:style>
  <w:style w:type="character" w:customStyle="1" w:styleId="20">
    <w:name w:val="כותרת 2 תו"/>
    <w:basedOn w:val="a0"/>
    <w:link w:val="2"/>
    <w:uiPriority w:val="9"/>
    <w:rsid w:val="00771866"/>
    <w:rPr>
      <w:rFonts w:ascii="David" w:eastAsiaTheme="majorEastAsia" w:hAnsi="David" w:cs="David"/>
      <w:bCs/>
      <w:color w:val="1F4E79" w:themeColor="accent1" w:themeShade="80"/>
      <w:sz w:val="26"/>
      <w:szCs w:val="28"/>
      <w:u w:val="single"/>
    </w:rPr>
  </w:style>
  <w:style w:type="character" w:customStyle="1" w:styleId="30">
    <w:name w:val="כותרת 3 תו"/>
    <w:basedOn w:val="a0"/>
    <w:link w:val="3"/>
    <w:uiPriority w:val="9"/>
    <w:rsid w:val="00771866"/>
    <w:rPr>
      <w:rFonts w:ascii="David" w:eastAsiaTheme="majorEastAsia" w:hAnsi="David" w:cs="David"/>
      <w:b/>
      <w:bCs/>
      <w:color w:val="000000" w:themeColor="text1"/>
      <w:sz w:val="26"/>
      <w:szCs w:val="26"/>
      <w:u w:val="single"/>
    </w:rPr>
  </w:style>
  <w:style w:type="character" w:customStyle="1" w:styleId="40">
    <w:name w:val="כותרת 4 תו"/>
    <w:basedOn w:val="a0"/>
    <w:link w:val="4"/>
    <w:uiPriority w:val="9"/>
    <w:rsid w:val="00771866"/>
    <w:rPr>
      <w:rFonts w:asciiTheme="majorHAnsi" w:eastAsiaTheme="majorEastAsia" w:hAnsiTheme="majorHAnsi" w:cs="David"/>
      <w:bCs/>
      <w:i/>
      <w:sz w:val="26"/>
      <w:u w:val="single"/>
    </w:rPr>
  </w:style>
  <w:style w:type="character" w:customStyle="1" w:styleId="50">
    <w:name w:val="כותרת 5 תו"/>
    <w:basedOn w:val="a0"/>
    <w:link w:val="5"/>
    <w:uiPriority w:val="9"/>
    <w:rsid w:val="00771866"/>
    <w:rPr>
      <w:rFonts w:asciiTheme="majorHAnsi" w:eastAsiaTheme="majorEastAsia" w:hAnsiTheme="majorHAnsi" w:cstheme="majorBidi"/>
      <w:color w:val="1F4D78" w:themeColor="accent1" w:themeShade="7F"/>
      <w:szCs w:val="24"/>
    </w:rPr>
  </w:style>
  <w:style w:type="character" w:customStyle="1" w:styleId="60">
    <w:name w:val="כותרת 6 תו"/>
    <w:basedOn w:val="a0"/>
    <w:link w:val="6"/>
    <w:uiPriority w:val="9"/>
    <w:semiHidden/>
    <w:rsid w:val="00771866"/>
    <w:rPr>
      <w:rFonts w:asciiTheme="majorHAnsi" w:eastAsiaTheme="majorEastAsia" w:hAnsiTheme="majorHAnsi" w:cstheme="majorBidi"/>
      <w:i/>
      <w:iCs/>
      <w:color w:val="1F4D78" w:themeColor="accent1" w:themeShade="7F"/>
      <w:szCs w:val="24"/>
    </w:rPr>
  </w:style>
  <w:style w:type="character" w:customStyle="1" w:styleId="70">
    <w:name w:val="כותרת 7 תו"/>
    <w:basedOn w:val="a0"/>
    <w:link w:val="7"/>
    <w:uiPriority w:val="9"/>
    <w:semiHidden/>
    <w:rsid w:val="00771866"/>
    <w:rPr>
      <w:rFonts w:asciiTheme="majorHAnsi" w:eastAsiaTheme="majorEastAsia" w:hAnsiTheme="majorHAnsi" w:cstheme="majorBidi"/>
      <w:i/>
      <w:iCs/>
      <w:color w:val="404040" w:themeColor="text1" w:themeTint="BF"/>
      <w:szCs w:val="24"/>
    </w:rPr>
  </w:style>
  <w:style w:type="character" w:customStyle="1" w:styleId="80">
    <w:name w:val="כותרת 8 תו"/>
    <w:basedOn w:val="a0"/>
    <w:link w:val="8"/>
    <w:uiPriority w:val="9"/>
    <w:semiHidden/>
    <w:rsid w:val="00771866"/>
    <w:rPr>
      <w:rFonts w:asciiTheme="majorHAnsi" w:eastAsiaTheme="majorEastAsia" w:hAnsiTheme="majorHAnsi" w:cstheme="majorBidi"/>
      <w:color w:val="404040" w:themeColor="text1" w:themeTint="BF"/>
      <w:sz w:val="20"/>
      <w:szCs w:val="20"/>
    </w:rPr>
  </w:style>
  <w:style w:type="character" w:customStyle="1" w:styleId="90">
    <w:name w:val="כותרת 9 תו"/>
    <w:basedOn w:val="a0"/>
    <w:link w:val="9"/>
    <w:uiPriority w:val="9"/>
    <w:semiHidden/>
    <w:rsid w:val="00771866"/>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771866"/>
    <w:pPr>
      <w:ind w:left="720"/>
      <w:contextualSpacing/>
    </w:pPr>
  </w:style>
  <w:style w:type="paragraph" w:styleId="a4">
    <w:name w:val="footnote text"/>
    <w:basedOn w:val="a"/>
    <w:link w:val="a5"/>
    <w:uiPriority w:val="99"/>
    <w:semiHidden/>
    <w:unhideWhenUsed/>
    <w:rsid w:val="00771866"/>
    <w:pPr>
      <w:spacing w:after="0" w:line="240" w:lineRule="auto"/>
    </w:pPr>
    <w:rPr>
      <w:sz w:val="20"/>
      <w:szCs w:val="20"/>
    </w:rPr>
  </w:style>
  <w:style w:type="character" w:customStyle="1" w:styleId="a5">
    <w:name w:val="טקסט הערת שוליים תו"/>
    <w:basedOn w:val="a0"/>
    <w:link w:val="a4"/>
    <w:uiPriority w:val="99"/>
    <w:semiHidden/>
    <w:rsid w:val="00771866"/>
    <w:rPr>
      <w:rFonts w:eastAsia="MS Mincho" w:cs="David"/>
      <w:sz w:val="20"/>
      <w:szCs w:val="20"/>
    </w:rPr>
  </w:style>
  <w:style w:type="character" w:styleId="a6">
    <w:name w:val="footnote reference"/>
    <w:basedOn w:val="a0"/>
    <w:uiPriority w:val="99"/>
    <w:semiHidden/>
    <w:unhideWhenUsed/>
    <w:rsid w:val="00771866"/>
    <w:rPr>
      <w:vertAlign w:val="superscript"/>
    </w:rPr>
  </w:style>
  <w:style w:type="table" w:customStyle="1" w:styleId="4-11">
    <w:name w:val="טבלת רשת 4 - הדגשה 11"/>
    <w:basedOn w:val="a1"/>
    <w:uiPriority w:val="49"/>
    <w:rsid w:val="00771866"/>
    <w:pPr>
      <w:spacing w:after="0" w:line="240" w:lineRule="auto"/>
    </w:pPr>
    <w:rPr>
      <w:rFonts w:eastAsia="MS Mincho"/>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header"/>
    <w:basedOn w:val="a"/>
    <w:link w:val="a8"/>
    <w:uiPriority w:val="99"/>
    <w:unhideWhenUsed/>
    <w:rsid w:val="002824CC"/>
    <w:pPr>
      <w:tabs>
        <w:tab w:val="center" w:pos="4153"/>
        <w:tab w:val="right" w:pos="8306"/>
      </w:tabs>
      <w:spacing w:after="0" w:line="240" w:lineRule="auto"/>
    </w:pPr>
  </w:style>
  <w:style w:type="character" w:customStyle="1" w:styleId="a8">
    <w:name w:val="כותרת עליונה תו"/>
    <w:basedOn w:val="a0"/>
    <w:link w:val="a7"/>
    <w:uiPriority w:val="99"/>
    <w:rsid w:val="002824CC"/>
    <w:rPr>
      <w:rFonts w:eastAsia="MS Mincho" w:cs="David"/>
      <w:szCs w:val="24"/>
    </w:rPr>
  </w:style>
  <w:style w:type="paragraph" w:styleId="a9">
    <w:name w:val="footer"/>
    <w:basedOn w:val="a"/>
    <w:link w:val="aa"/>
    <w:uiPriority w:val="99"/>
    <w:unhideWhenUsed/>
    <w:rsid w:val="002824CC"/>
    <w:pPr>
      <w:tabs>
        <w:tab w:val="center" w:pos="4153"/>
        <w:tab w:val="right" w:pos="8306"/>
      </w:tabs>
      <w:spacing w:after="0" w:line="240" w:lineRule="auto"/>
    </w:pPr>
  </w:style>
  <w:style w:type="character" w:customStyle="1" w:styleId="aa">
    <w:name w:val="כותרת תחתונה תו"/>
    <w:basedOn w:val="a0"/>
    <w:link w:val="a9"/>
    <w:uiPriority w:val="99"/>
    <w:rsid w:val="002824CC"/>
    <w:rPr>
      <w:rFonts w:eastAsia="MS Mincho"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footer" Target="footer2.xml"/><Relationship Id="rId7" Type="http://schemas.openxmlformats.org/officeDocument/2006/relationships/image" Target="media/image1.wmf"/><Relationship Id="rId12" Type="http://schemas.openxmlformats.org/officeDocument/2006/relationships/image" Target="media/image4.emf"/><Relationship Id="rId17" Type="http://schemas.openxmlformats.org/officeDocument/2006/relationships/image" Target="media/image7.wmf"/><Relationship Id="rId25" Type="http://schemas.openxmlformats.org/officeDocument/2006/relationships/image" Target="media/image10.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footer" Target="footer3.xml"/><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microsoft.com/office/2007/relationships/hdphoto" Target="media/hdphoto1.wdp"/><Relationship Id="rId35" Type="http://schemas.openxmlformats.org/officeDocument/2006/relationships/header" Target="head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1457</Words>
  <Characters>7288</Characters>
  <Application>Microsoft Office Word</Application>
  <DocSecurity>0</DocSecurity>
  <Lines>60</Lines>
  <Paragraphs>17</Paragraphs>
  <ScaleCrop>false</ScaleCrop>
  <Company/>
  <LinksUpToDate>false</LinksUpToDate>
  <CharactersWithSpaces>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chanan w</dc:creator>
  <cp:keywords/>
  <dc:description/>
  <cp:lastModifiedBy>chanan w</cp:lastModifiedBy>
  <cp:revision>2</cp:revision>
  <dcterms:created xsi:type="dcterms:W3CDTF">2020-07-31T12:22:00Z</dcterms:created>
  <dcterms:modified xsi:type="dcterms:W3CDTF">2020-07-31T12:26:00Z</dcterms:modified>
</cp:coreProperties>
</file>