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  <mc:AlternateContent>
          <mc:Choice Requires="wpg">
            <w:drawing>
              <wp:inline distB="0" distT="0" distL="0" distR="0">
                <wp:extent cx="382714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2780" y="3780000"/>
                          <a:ext cx="38264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82714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71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84" w:lineRule="auto"/>
        <w:ind w:left="0" w:right="0" w:firstLine="0"/>
        <w:jc w:val="both"/>
        <w:rPr>
          <w:rFonts w:ascii="한양신명조" w:cs="한양신명조" w:eastAsia="한양신명조" w:hAnsi="한양신명조"/>
          <w:b w:val="1"/>
          <w:bCs w:val="1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한양신명조" w:cs="한양신명조" w:eastAsia="한양신명조" w:hAnsi="한양신명조"/>
          <w:b w:val="1"/>
          <w:bCs w:val="1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유스케이스 정의서</w:t>
      </w:r>
    </w:p>
    <w:p w:rsidR="00000000" w:rsidDel="00000000" w:rsidP="00000000" w:rsidRDefault="00000000" w:rsidRPr="00000000" w14:paraId="00000003">
      <w:pPr>
        <w:spacing w:after="0" w:before="0" w:line="384" w:lineRule="auto"/>
        <w:ind w:left="0" w:right="0" w:firstLine="0"/>
        <w:jc w:val="both"/>
        <w:rPr>
          <w:rFonts w:ascii="한양신명조" w:cs="한양신명조" w:eastAsia="한양신명조" w:hAnsi="한양신명조"/>
          <w:b w:val="1"/>
          <w:bCs w:val="1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한양신명조" w:cs="한양신명조" w:eastAsia="한양신명조" w:hAnsi="한양신명조"/>
          <w:b w:val="1"/>
          <w:bCs w:val="1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V 1.0</w:t>
      </w:r>
    </w:p>
    <w:p w:rsidR="00000000" w:rsidDel="00000000" w:rsidP="00000000" w:rsidRDefault="00000000" w:rsidRPr="00000000" w14:paraId="00000004">
      <w:pPr>
        <w:spacing w:after="0" w:before="0" w:line="384" w:lineRule="auto"/>
        <w:ind w:left="0" w:right="0" w:firstLine="0"/>
        <w:jc w:val="both"/>
        <w:rPr>
          <w:rFonts w:ascii="한양신명조" w:cs="한양신명조" w:eastAsia="한양신명조" w:hAnsi="한양신명조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84" w:lineRule="auto"/>
        <w:ind w:left="0" w:right="0" w:firstLine="0"/>
        <w:jc w:val="both"/>
        <w:rPr>
          <w:rFonts w:ascii="한양신명조" w:cs="한양신명조" w:eastAsia="한양신명조" w:hAnsi="한양신명조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한양신명조" w:cs="한양신명조" w:eastAsia="한양신명조" w:hAnsi="한양신명조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  <mc:AlternateContent>
          <mc:Choice Requires="wpg">
            <w:drawing>
              <wp:inline distB="0" distT="0" distL="0" distR="0">
                <wp:extent cx="382714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2780" y="3780000"/>
                          <a:ext cx="38264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82714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71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84" w:lineRule="auto"/>
        <w:ind w:left="0" w:right="0" w:firstLine="0"/>
        <w:jc w:val="left"/>
        <w:rPr>
          <w:rFonts w:ascii="한양신명조" w:cs="한양신명조" w:eastAsia="한양신명조" w:hAnsi="한양신명조"/>
          <w:b w:val="1"/>
          <w:bCs w:val="1"/>
          <w:i w:val="0"/>
          <w:iCs w:val="0"/>
          <w:strike w:val="0"/>
          <w:color w:val="000000"/>
          <w:sz w:val="30"/>
          <w:szCs w:val="30"/>
          <w:u w:val="none"/>
          <w:vertAlign w:val="baseline"/>
        </w:rPr>
      </w:pPr>
      <w:r w:rsidDel="00000000" w:rsidR="00000000" w:rsidRPr="00000000">
        <w:rPr>
          <w:rFonts w:ascii="한양신명조" w:cs="한양신명조" w:eastAsia="한양신명조" w:hAnsi="한양신명조"/>
          <w:b w:val="1"/>
          <w:bCs w:val="1"/>
          <w:i w:val="0"/>
          <w:iCs w:val="0"/>
          <w:strike w:val="0"/>
          <w:color w:val="000000"/>
          <w:sz w:val="30"/>
          <w:szCs w:val="30"/>
          <w:u w:val="none"/>
          <w:vertAlign w:val="baseline"/>
          <w:rtl w:val="0"/>
        </w:rPr>
        <w:t xml:space="preserve">iteams</w:t>
      </w:r>
    </w:p>
    <w:p w:rsidR="00000000" w:rsidDel="00000000" w:rsidP="00000000" w:rsidRDefault="00000000" w:rsidRPr="00000000" w14:paraId="00000007">
      <w:pPr>
        <w:spacing w:after="0" w:before="0" w:line="384" w:lineRule="auto"/>
        <w:ind w:left="0" w:right="0" w:firstLine="0"/>
        <w:jc w:val="both"/>
        <w:rPr/>
      </w:pPr>
      <w:r w:rsidDel="00000000" w:rsidR="00000000" w:rsidRPr="00000000">
        <w:rPr>
          <w:rFonts w:ascii="한양신명조" w:cs="한양신명조" w:eastAsia="한양신명조" w:hAnsi="한양신명조"/>
          <w:b w:val="0"/>
          <w:bCs w:val="0"/>
          <w:i w:val="0"/>
          <w:iC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한양신명조" w:cs="한양신명조" w:eastAsia="한양신명조" w:hAnsi="한양신명조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한양신명조" w:cs="한양신명조" w:eastAsia="한양신명조" w:hAnsi="한양신명조"/>
          <w:sz w:val="20"/>
          <w:szCs w:val="20"/>
          <w:rtl w:val="0"/>
        </w:rPr>
        <w:t xml:space="preserve">관세 행정 및 통관 관리 시스템</w:t>
      </w:r>
      <w:r w:rsidDel="00000000" w:rsidR="00000000" w:rsidRPr="00000000">
        <w:rPr>
          <w:rFonts w:ascii="한양신명조" w:cs="한양신명조" w:eastAsia="한양신명조" w:hAnsi="한양신명조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  <mc:AlternateContent>
          <mc:Choice Requires="wpg">
            <w:drawing>
              <wp:inline distB="0" distT="0" distL="0" distR="0">
                <wp:extent cx="382714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2780" y="3780000"/>
                          <a:ext cx="38264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82714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71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sz w:val="28"/>
          <w:szCs w:val="28"/>
          <w:rtl w:val="0"/>
        </w:rPr>
        <w:t xml:space="preserve">2026.01.20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95" w:lineRule="auto"/>
        <w:ind w:left="0" w:right="0" w:firstLine="0"/>
        <w:jc w:val="both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95" w:lineRule="auto"/>
        <w:ind w:left="0" w:right="0" w:firstLine="0"/>
        <w:jc w:val="left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64.0" w:type="dxa"/>
        <w:jc w:val="left"/>
        <w:tblInd w:w="-2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49"/>
        <w:gridCol w:w="2215"/>
        <w:tblGridChange w:id="0">
          <w:tblGrid>
            <w:gridCol w:w="1649"/>
            <w:gridCol w:w="221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95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배  포  번  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95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95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작 성 자 (PL)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95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최</w:t>
            </w: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상철(DA)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95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보          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95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일반 </w:t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="295" w:lineRule="auto"/>
        <w:ind w:left="0" w:right="0" w:firstLine="0"/>
        <w:jc w:val="left"/>
        <w:rPr>
          <w:rFonts w:ascii="Batangche" w:cs="Batangche" w:eastAsia="Batangche" w:hAnsi="Batangche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00000000002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959"/>
        <w:gridCol w:w="1559"/>
        <w:gridCol w:w="4801"/>
        <w:gridCol w:w="1607"/>
        <w:tblGridChange w:id="0">
          <w:tblGrid>
            <w:gridCol w:w="959"/>
            <w:gridCol w:w="1559"/>
            <w:gridCol w:w="4801"/>
            <w:gridCol w:w="160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0"/>
                <w:bCs w:val="0"/>
                <w:i w:val="0"/>
                <w:iCs w:val="0"/>
                <w:strike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문서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HY견고딕" w:cs="HY견고딕" w:eastAsia="HY견고딕" w:hAnsi="HY견고딕"/>
                <w:b w:val="0"/>
                <w:bCs w:val="0"/>
                <w:i w:val="0"/>
                <w:iCs w:val="0"/>
                <w:strike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개정이력표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문서명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20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날짜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내용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20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최초 제정 (세관원 업무 정의 반영)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최상철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20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7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20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13.0" w:type="dxa"/>
              <w:left w:w="106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최상철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관세 행정 및 통관 관리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2026-01-20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CUSTOMS-00,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UC-DA-01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명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심사 대기열 관리 및 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1. 개요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 신규 접수된 신고 건을 확인하고, 리스크 및 업무 부하를 고려하여 담당자를 배정하거나 통합 검색을 수행한다.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주액터: 세관원(DA)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보조액터: 시스템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기본흐름 ① 대기열을 확인하고 업무를 배정한다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①-1. 세관원은 대시보드에서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내 담당 건수와 업무 단계별 상태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를 확인한다.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CUSTOMS-COMMON-00-01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①-2.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기한 임박 및 민원/고위험 표시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 등 우선순위 신호를 확인한다.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CUSTOMS-COMMON-00-02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①-3.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Green/Red 등 채널 분포와 리스크 스코어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를 확인하여 업무 강도를 파악한다.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CUSTOMS-COMMON-00-03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①-4.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신규 접수된 신고 목록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을 조회한다.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CUSTOMS-IMPORT-01-01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①-5. 시스템은 업무부하/전문분야(HS) 기준으로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담당자를 자동 배정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하고, 필요시 수동으로 배정한다.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CUSTOMS-IMPORT-01-02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①-6. (수출의 경우)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수출 신고 접수 및 사건 ID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를 부여받아 대기열에 등록한다.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CUSTOMS-EXPORT-14-01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대안흐름</w:t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①-a. 특정 사건 조회가 필요한 경우,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사건/신고번호로 통합 검색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하여 상세로 이동한다.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CUSTOMS-COMMON-00-05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14"/>
              </w:numPr>
              <w:spacing w:after="240" w:before="0" w:beforeAutospacing="0" w:lineRule="auto"/>
              <w:ind w:left="144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①-b. 본인의 처리 이력이 필요한 경우,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감사 로그 및 주요 처리 업무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를 조회한다.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CUSTOMS-COMMON-00-06</w:t>
            </w: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4. 비즈니스 규칙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3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f0f0f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right="0" w:firstLine="10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최상철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관세 행정 및 통관 관리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2026-01-20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CUSTOMS-03, 04,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UC-DA-02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명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수입 신고 심사 (서류/요건)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1. 개요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배정된 신고 건의 형식적 오류, 리스크 점수, 첨부 서류, 법적 요건 충족 여부를 심사하고 과세 가격을 검증한다.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주액터: 세관원(DA)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기본흐름 ① 신고 서류 및 요건을 심사한다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①-1.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첨부 필수 서류(인보이스 등)의 존재 여부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시스템이 1차 검증한다.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CUSTOMS-IMPORT-02-02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①-2. **리스크 점수(가격/FTA 이상치)**를 산출하여 조회한다.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CUSTOMS-IMPORT-03-01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①-3. 리스크/정책룰에 따라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GREEN/DOC/RED/ANALYSIS 경로를 확정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CUSTOMS-IMPORT-03-02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①-4. (고위험 시)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검사 경로 확정에 대해 상급 승인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을 요청한다.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CUSTOMS-IMPORT-03-03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①-5.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서류심사를 수행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하여 신고서와 첨부 서류의 일치성을 확인한다.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CUSTOMS-IMPORT-04-01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①-6. 거래 조건 등을 확인하여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가격 성립 의심 여부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판단한다.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CUSTOMS-IMPORT-04-02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①-7.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원산지 증명서(C/O) 및 FTA 형식 요건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충족 여부를 판단한다.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CUSTOMS-IMPORT-04-03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①-8. 가산/공제 누락 및 HS-세율 매칭 등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과세 산식을 검증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CUSTOMS-IMPORT-07-01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①-9. 이상이 없으면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서류심사 통과(수리 후보)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처리한다.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CUSTOMS-IMPORT-04-04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대안흐름 (수출 신고 건일 경우)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②-1.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필수값/형식/첨부파일 검증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후 접수 불가 시 반려 처리한다.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CUSTOMS-EXPORT-14-02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②-2.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리스크 스코어링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을 통해 채널을 자동 분기한다.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CUSTOMS-EXPORT-14-03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②-3.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DOC 채널 서류심사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수행하고 결과를 기록한다.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CUSTOMS-EXPORT-16-01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4. 비즈니스 규칙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right="0" w:firstLine="100"/>
              <w:jc w:val="left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최상철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관세 행정 및 통관 관리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2026-01-20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CUSTOMS-05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UC-DA-03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명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현품 검사 및 분석 의뢰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1. 개요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서류만으로 판단하기 어려운 경우, 검사 오더를 발행하여 실물 검사를 수행하거나 샘플 분석을 의뢰한다.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주액터: 세관원(DA)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보조액터: 창고관리자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기본흐름 ① 현품 검사를 수행한다</w:t>
            </w:r>
          </w:p>
          <w:p w:rsidR="00000000" w:rsidDel="00000000" w:rsidP="00000000" w:rsidRDefault="00000000" w:rsidRPr="00000000" w14:paraId="000000BD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①-1. 검사 오더를 발행하고 창고와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검사 일정을 조율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하여 확정한다.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CUSTOMS-IMPORT-05-01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①-2. 현장에서 실물의 품명/규격/수량 등을 확인하는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현품 검사를 수행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CUSTOMS-IMPORT-05-02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①-3. 필요 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샘플을 채취하여 분석을 의뢰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CUSTOMS-IMPORT-05-03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①-4.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검사 결과(적합/부적합)를 입력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하고 확정한다.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CUSTOMS-IMPORT-05-04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대안흐름 (수출 신고 건일 경우)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2"/>
              </w:numPr>
              <w:spacing w:after="24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②-1.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RED/ANALYSIS 채널 검사를 요청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하고 결과를 수신한다.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CUSTOMS-EXPORT-16-02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4. 비즈니스 규칙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6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최상철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관세 행정 및 통관 관리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2026-01-20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CUSTOMS-06,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UC-DA-04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명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보완 요구 및 처분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1. 개요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심사/검사 결과에 따라 보완/정정을 요구하거나, 최종적으로 수리/반려/보류 처분을 확정한다.</w:t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0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주액터: 세관원(DA)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0"/>
              </w:numPr>
              <w:spacing w:after="24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보조액터: 상급자</w:t>
            </w:r>
          </w:p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기본흐름 ① 보완 및 정정을 요구한다</w:t>
            </w:r>
          </w:p>
          <w:p w:rsidR="00000000" w:rsidDel="00000000" w:rsidP="00000000" w:rsidRDefault="00000000" w:rsidRPr="00000000" w14:paraId="000000E7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①-1. 대시보드에서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보완·정정 응답 대기 리스트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관리한다.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CUSTOMS-COMMON-00-04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①-2. (형식 오류 시) 신고인에게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형식 오류 코드를 통보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CUSTOMS-IMPORT-02-03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①-3.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보완 요구서를 작성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하여 발행한다(항목/기한/사유).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CUSTOMS-IMPORT-06-01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①-4.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보완 제출물 접수 상태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확인한다.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CUSTOMS-IMPORT-06-02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B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①-5. 제출물을 검토하고 필요 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추가 요구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발행한다.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CUSTOMS-IMPORT-06-03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①-6. 요건 충족 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보완을 종결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CUSTOMS-IMPORT-06-04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①-7. 오류 의심 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정정 요청을 발행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CUSTOMS-IMPORT-07-02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E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①-8.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정정 제출물을 검토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하고 반영 여부를 확정한다.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CUSTOMS-IMPORT-07-03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기본흐름 ② 처분을 확정한다</w:t>
            </w:r>
          </w:p>
          <w:p w:rsidR="00000000" w:rsidDel="00000000" w:rsidP="00000000" w:rsidRDefault="00000000" w:rsidRPr="00000000" w14:paraId="000000F0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②-1. 심사 결과를 바탕으로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결정안(수리/반려/보류)을 작성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CUSTOMS-IMPORT-08-01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1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②-2. 조건(고액/고위험) 충족 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상급자 승인을 요청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CUSTOMS-IMPORT-08-02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②-3. 최종적으로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수리/반려/보류를 확정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하고 통지한다.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CUSTOMS-IMPORT-08-03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대안흐름 (수출 신고 건일 경우)</w:t>
            </w:r>
          </w:p>
          <w:p w:rsidR="00000000" w:rsidDel="00000000" w:rsidP="00000000" w:rsidRDefault="00000000" w:rsidRPr="00000000" w14:paraId="000000F4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③-1. 수출 건에 대해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보완요구/반려/수리를 확정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CUSTOMS-EXPORT-12-04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5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③-2. 불명확 시 조치(보완/정정/보류/조사이관)를 분기한다.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CUSTOMS-EXPORT-15-02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6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③-3.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처분 결정(수리/보류 등)을 수행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CUSTOMS-EXPORT-17-01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4. 비즈니스 규칙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1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FB">
            <w:pPr>
              <w:spacing w:after="0" w:before="0" w:line="240" w:lineRule="auto"/>
              <w:ind w:left="0" w:right="0" w:firstLine="100"/>
              <w:jc w:val="left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right="0" w:firstLine="10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right="0" w:firstLine="10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최상철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업 무 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0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관세 행정 및 통관 관리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28282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0"/>
                <w:szCs w:val="20"/>
                <w:rtl w:val="0"/>
              </w:rPr>
              <w:t xml:space="preserve">2026-01-20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요구사항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CUSTOMS-09, 10,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UC-DA-05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00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유스케이스 명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2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사후 심사 및 반출 통제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f0f0f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="240" w:lineRule="auto"/>
              <w:ind w:left="0" w:right="0" w:firstLine="0"/>
              <w:jc w:val="left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1. 개요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통관 완료 후 세액 납부를 확인하여 반출을 승인/차단하고, 위험 건을 사후 심사로 이관하여 조치한다.</w:t>
            </w:r>
          </w:p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주액터: 세관원(DA)</w:t>
            </w:r>
          </w:p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기본흐름 ① 납부 확인 및 반출 관리</w:t>
            </w:r>
          </w:p>
          <w:p w:rsidR="00000000" w:rsidDel="00000000" w:rsidP="00000000" w:rsidRDefault="00000000" w:rsidRPr="00000000" w14:paraId="0000011D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①-1. 고지 생성 및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납부 진행 상태를 조회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CUSTOMS-IMPORT-09-01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E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①-2. 전자납부 반영 후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납부 확인 완료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처리한다.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CUSTOMS-IMPORT-09-02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F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①-3. 수리 및 납부 완료 건에 대해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반출 승인을 확정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CUSTOMS-IMPORT-10-01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0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①-4. 창고로부터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반출 완료(Gate-Out) 통보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수신한다.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CUSTOMS-IMPORT-10-04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1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①-5. 미납 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미납 처리 및 후속 조치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CUSTOMS-IMPORT-09-03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2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①-6. 필요 시(미납/검사대기 등)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반출 차단을 등록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CUSTOMS-IMPORT-10-02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3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①-7. 해제 요청 접수 시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차단 해제 처리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CUSTOMS-IMPORT-10-03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기본흐름 ② 사후 심사 및 사건 처리</w:t>
            </w:r>
          </w:p>
          <w:p w:rsidR="00000000" w:rsidDel="00000000" w:rsidP="00000000" w:rsidRDefault="00000000" w:rsidRPr="00000000" w14:paraId="00000125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②-1. 리스크 점수 등에 따라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사후 후보로 태깅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CUSTOMS-IMPORT-11-01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6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②-2. 후보를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사후팀 사건 생성 대상으로 이관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요청한다.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CUSTOMS-IMPORT-11-02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②-3. (사후팀) 후보를 검토해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사건을 생성하고 담당을 배정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CUSTOMS-POST-13-01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8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②-4.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자료 요구서를 발행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하고 수령한다.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CUSTOMS-POST-13-02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9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②-5.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국내·해외 가격 등을 비교 분석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CUSTOMS-POST-13-03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A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②-6.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조치안(추징/환급/종결)을 작성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하고 결재 대기한다.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CUSTOMS-POST-13-04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B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②-7.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결과를 통지하고 사건을 종결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CUSTOMS-POST-13-05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대안흐름 (수출 신고 건일 경우)</w:t>
            </w:r>
          </w:p>
          <w:p w:rsidR="00000000" w:rsidDel="00000000" w:rsidP="00000000" w:rsidRDefault="00000000" w:rsidRPr="00000000" w14:paraId="0000012D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③-1.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적재 가능 여부 및 차단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을 관리한다.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CUSTOMS-EXPORT-12-05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E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③-2.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전략물자/수출통제 서류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 검토 및 요건 판별을 수행한다.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CUSTOMS-EXPORT-15-01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15-03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F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③-3.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반출(선적) 승인/차단/해제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관리한다.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CUSTOMS-EXPORT-17-02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③-4.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Gate-Out 이벤트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를 수신한다.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CUSTOMS-EXPORT-17-03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1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③-5.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사후 후보 태깅 및 누적/검색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을 관리한다.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CUSTOMS-EXPORT-14-04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18-01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2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③-6.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사후 사건 생성 및 이관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을 수행한다.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CUSTOMS-EXPORT-18-02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3">
            <w:pPr>
              <w:numPr>
                <w:ilvl w:val="1"/>
                <w:numId w:val="18"/>
              </w:numPr>
              <w:spacing w:after="240" w:before="0" w:beforeAutospacing="0" w:lineRule="auto"/>
              <w:ind w:left="144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③-7.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반복 보완/정정 시 태깅을 강화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한다. (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CUSTOMS-EXPORT-16-03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4. 비즈니스 규칙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5"/>
              </w:numPr>
              <w:spacing w:after="240" w:before="240" w:lineRule="auto"/>
              <w:ind w:left="720" w:hanging="360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38">
            <w:pPr>
              <w:spacing w:after="0" w:before="0" w:line="240" w:lineRule="auto"/>
              <w:ind w:left="0" w:right="0" w:firstLine="100"/>
              <w:jc w:val="left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23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Batangche"/>
  <w:font w:name="Batang"/>
  <w:font w:name="한양신명조"/>
  <w:font w:name="HY견고딕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84" w:lineRule="auto"/>
      <w:ind w:left="0" w:right="0" w:firstLine="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84" w:lineRule="auto"/>
      <w:ind w:left="0" w:right="0" w:firstLine="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84" w:lineRule="auto"/>
      <w:ind w:left="1400" w:right="0" w:hanging="40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84" w:lineRule="auto"/>
      <w:ind w:left="1600" w:right="0" w:hanging="40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84" w:lineRule="auto"/>
      <w:ind w:left="1800" w:right="0" w:hanging="400"/>
      <w:jc w:val="both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84" w:lineRule="auto"/>
      <w:ind w:left="2000" w:right="0" w:hanging="40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84" w:lineRule="auto"/>
      <w:ind w:left="0" w:right="0" w:firstLine="0"/>
      <w:jc w:val="center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384" w:lineRule="auto"/>
      <w:ind w:left="0" w:right="0" w:firstLine="0"/>
      <w:jc w:val="center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4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