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xml" ContentType="application/xml"/>
  <Default Extension="ttf" ContentType="application/x-font-ttf"/>
  <Default Extension="odttf" ContentType="application/vnd.openxmlformats-officedocument.obfuscatedfont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spacing w:lineRule="auto" w:line="348" w:after="0"/>
        <w:ind w:right="100" w:firstLine="0"/>
        <w:rPr>
          <w:b w:val="1"/>
          <w:color w:val="0000FF"/>
          <w:shd w:val="clear"/>
          <w:rFonts w:ascii="함초롬바탕" w:eastAsia="함초롬바탕" w:hAnsi="함초롬바탕" w:cs="함초롬바탕"/>
        </w:rPr>
      </w:pPr>
      <w:r>
        <w:rPr>
          <w:sz w:val="20"/>
        </w:rPr>
        <w:pict>
          <v:shape id="_x0000_s9" style="position:static;width:453.5pt;height:30.0pt;v-text-anchor:middle;z-index:251624960" coordsize="5760085,381000" path="m,l5760085,,5760085,381000,,381000,,e" strokecolor="#1C63AE" o:allowoverlap="1" strokeweight="1pt" fillcolor="#6692CC" filled="t">
            <v:stroke joinstyle="round"/>
            <w10:wrap type="none"/>
            <w10:anchorlock/>
            <v:textbox style="" inset="7pt,4pt,7pt,4pt">
              <w:txbxContent>
                <w:p>
                  <w:pPr>
                    <w:jc w:val="center"/>
                    <w:spacing w:lineRule="auto" w:line="384" w:before="0" w:after="0"/>
                    <w:ind w:left="0" w:right="0" w:firstLine="0"/>
                    <w:rPr>
                      <w:shd w:val="clear"/>
                    </w:rPr>
                  </w:pPr>
                  <w:r>
                    <w:rPr>
                      <w:i w:val="0"/>
                      <w:b w:val="0"/>
                      <w:color w:val="FFFFFF"/>
                      <w:sz w:val="30"/>
                      <w:szCs w:val="30"/>
                      <w:shd w:val="clear"/>
                      <w:smallCaps w:val="0"/>
                      <w:rFonts w:ascii="함초롬돋움" w:eastAsia="함초롬돋움" w:hAnsi="함초롬돋움" w:cs="함초롬돋움"/>
                    </w:rPr>
                    <w:t xml:space="preserve">개발환경 구축 완료 보고서</w:t>
                  </w:r>
                </w:p>
              </w:txbxContent>
            </v:textbox>
          </v:shape>
        </w:pict>
      </w:r>
      <w:r>
        <w:rPr>
          <w:sz w:val="20"/>
        </w:rPr>
        <w:drawing>
          <wp:inline distT="0" distB="0" distL="0" distR="0">
            <wp:extent cx="5785485" cy="406400"/>
            <wp:effectExtent l="0" t="0" r="0" b="0"/>
            <wp:docPr id="10" name="image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/temp/image1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86120" cy="40703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384" w:after="0"/>
        <w:rPr>
          <w:color w:val="000000"/>
          <w:shd w:val="clear"/>
          <w:rFonts w:ascii="함초롬바탕" w:eastAsia="함초롬바탕" w:hAnsi="함초롬바탕" w:cs="함초롬바탕"/>
        </w:rPr>
      </w:pPr>
    </w:p>
    <w:p>
      <w:pPr>
        <w:numPr>
          <w:numId w:val="1"/>
          <w:ilvl w:val="0"/>
        </w:numPr>
        <w:spacing w:lineRule="auto" w:line="335" w:after="0"/>
        <w:ind w:left="0" w:firstLine="0"/>
        <w:rPr>
          <w:color w:val="000000"/>
          <w:shd w:val="clear"/>
          <w:rFonts w:ascii="함초롬바탕" w:eastAsia="함초롬바탕" w:hAnsi="함초롬바탕" w:cs="함초롬바탕"/>
        </w:rPr>
      </w:pPr>
      <w:r>
        <w:rPr>
          <w:rtl w:val="0"/>
          <w:color w:val="000000"/>
          <w:sz w:val="26"/>
          <w:szCs w:val="26"/>
          <w:shd w:val="clear"/>
          <w:rFonts w:ascii="휴먼명조" w:eastAsia="휴먼명조" w:hAnsi="휴먼명조" w:cs="휴먼명조"/>
        </w:rPr>
        <w:t>Tool</w:t>
      </w:r>
    </w:p>
    <w:tbl>
      <w:tblID w:val="0"/>
      <w:tblPr>
        <w:tblStyle w:val="PO155"/>
        <w:tblCellMar>
          <w:left w:w="15" w:type="dxa"/>
          <w:top w:w="15" w:type="dxa"/>
          <w:right w:w="15" w:type="dxa"/>
          <w:bottom w:w="15" w:type="dxa"/>
        </w:tblCellMar>
        <w:tblW w:w="8982" w:type="dxa"/>
        <w:tblLook w:val="000400" w:firstRow="0" w:lastRow="0" w:firstColumn="0" w:lastColumn="0" w:noHBand="0" w:noVBand="1"/>
        <w:tblLayout w:type="fixed"/>
      </w:tblPr>
      <w:tblGrid>
        <w:gridCol w:w="2692"/>
        <w:gridCol w:w="2054"/>
        <w:gridCol w:w="1714"/>
        <w:gridCol w:w="2522"/>
      </w:tblGrid>
      <w:tr>
        <w:trPr>
          <w:trHeight w:hRule="atleast" w:val="390"/>
          <w:cantSplit/>
          <w:hidden w:val="0"/>
        </w:trPr>
        <w:tc>
          <w:tcPr>
            <w:tcW w:type="dxa" w:w="269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구분</w:t>
            </w:r>
          </w:p>
        </w:tc>
        <w:tc>
          <w:tcPr>
            <w:tcW w:type="dxa" w:w="20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툴 이름</w:t>
            </w:r>
          </w:p>
        </w:tc>
        <w:tc>
          <w:tcPr>
            <w:tcW w:type="dxa" w:w="171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버전</w:t>
            </w:r>
          </w:p>
        </w:tc>
        <w:tc>
          <w:tcPr>
            <w:tcW w:type="dxa" w:w="252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참고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69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vMerge w:val="restart"/>
            <w:tcBorders>
              <w:bottom w:val="single" w:color="000000" w:sz="4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IDE</w:t>
            </w:r>
          </w:p>
        </w:tc>
        <w:tc>
          <w:tcPr>
            <w:tcW w:type="dxa" w:w="20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gGov(이클립스)</w:t>
            </w:r>
          </w:p>
        </w:tc>
        <w:tc>
          <w:tcPr>
            <w:tcW w:type="dxa" w:w="171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4.3.1</w:t>
            </w:r>
          </w:p>
        </w:tc>
        <w:tc>
          <w:tcPr>
            <w:tcW w:type="dxa" w:w="252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</w:p>
        </w:tc>
      </w:tr>
      <w:tr>
        <w:trPr>
          <w:trHeight w:hRule="atleast" w:val="390"/>
          <w:hidden w:val="0"/>
        </w:trPr>
        <w:tc>
          <w:tcPr>
            <w:tcW w:type="dxa" w:w="2692"/>
            <w:vAlign w:val="center"/>
            <w:vMerge/>
            <w:tcBorders>
              <w:bottom w:val="single" w:color="000000" w:sz="4"/>
              <w:left w:val="nil" w:color="000000"/>
              <w:right w:val="single" w:color="000000" w:sz="4"/>
              <w:top w:val="single" w:color="000000" w:sz="4"/>
            </w:tcBorders>
          </w:tcPr>
          <w:p/>
        </w:tc>
        <w:tc>
          <w:tcPr>
            <w:tcW w:type="dxa" w:w="2054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hd w:val="clear"/>
                <w:rFonts w:ascii="함초롬바탕" w:eastAsia="함초롬바탕" w:hAnsi="함초롬바탕" w:cs="함초롬바탕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>vscode</w:t>
            </w:r>
          </w:p>
        </w:tc>
        <w:tc>
          <w:tcPr>
            <w:tcW w:type="dxa" w:w="1714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hd w:val="clear"/>
                <w:rFonts w:ascii="함초롬바탕" w:eastAsia="함초롬바탕" w:hAnsi="함초롬바탕" w:cs="함초롬바탕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>18.2.1</w:t>
            </w:r>
          </w:p>
        </w:tc>
        <w:tc>
          <w:tcPr>
            <w:tcW w:type="dxa" w:w="2522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</w:p>
        </w:tc>
      </w:tr>
      <w:tr>
        <w:trPr>
          <w:trHeight w:hRule="atleast" w:val="390"/>
          <w:hidden w:val="0"/>
        </w:trPr>
        <w:tc>
          <w:tcPr>
            <w:tcW w:type="dxa" w:w="2692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hd w:val="clear"/>
                <w:rFonts w:ascii="함초롬바탕" w:eastAsia="함초롬바탕" w:hAnsi="함초롬바탕" w:cs="함초롬바탕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>DB관리</w:t>
            </w:r>
          </w:p>
        </w:tc>
        <w:tc>
          <w:tcPr>
            <w:tcW w:type="dxa" w:w="2054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hd w:val="clear"/>
                <w:rFonts w:ascii="함초롬바탕" w:eastAsia="함초롬바탕" w:hAnsi="함초롬바탕" w:cs="함초롬바탕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>DBeaver</w:t>
            </w:r>
          </w:p>
        </w:tc>
        <w:tc>
          <w:tcPr>
            <w:tcW w:type="dxa" w:w="1714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hd w:val="clear"/>
                <w:rFonts w:ascii="함초롬바탕" w:eastAsia="함초롬바탕" w:hAnsi="함초롬바탕" w:cs="함초롬바탕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>25.3.3</w:t>
            </w:r>
          </w:p>
        </w:tc>
        <w:tc>
          <w:tcPr>
            <w:tcW w:type="dxa" w:w="2522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</w:p>
        </w:tc>
      </w:tr>
      <w:tr>
        <w:trPr>
          <w:trHeight w:hRule="atleast" w:val="390"/>
          <w:hidden w:val="0"/>
        </w:trPr>
        <w:tc>
          <w:tcPr>
            <w:tcW w:type="dxa" w:w="2692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hd w:val="clear"/>
                <w:rFonts w:ascii="함초롬바탕" w:eastAsia="함초롬바탕" w:hAnsi="함초롬바탕" w:cs="함초롬바탕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 xml:space="preserve">데이터 모델링</w:t>
            </w:r>
          </w:p>
        </w:tc>
        <w:tc>
          <w:tcPr>
            <w:tcW w:type="dxa" w:w="2054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hd w:val="clear"/>
                <w:rFonts w:ascii="함초롬바탕" w:eastAsia="함초롬바탕" w:hAnsi="함초롬바탕" w:cs="함초롬바탕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>ERDCloud</w:t>
            </w:r>
          </w:p>
        </w:tc>
        <w:tc>
          <w:tcPr>
            <w:tcW w:type="dxa" w:w="1714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hd w:val="clear"/>
                <w:rFonts w:ascii="함초롬바탕" w:eastAsia="함초롬바탕" w:hAnsi="함초롬바탕" w:cs="함초롬바탕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 xml:space="preserve">Cloud 서비스</w:t>
            </w:r>
          </w:p>
        </w:tc>
        <w:tc>
          <w:tcPr>
            <w:tcW w:type="dxa" w:w="2522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</w:p>
        </w:tc>
      </w:tr>
      <w:tr>
        <w:trPr>
          <w:trHeight w:hRule="atleast" w:val="390"/>
          <w:hidden w:val="0"/>
        </w:trPr>
        <w:tc>
          <w:tcPr>
            <w:tcW w:type="dxa" w:w="2692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Build</w:t>
            </w:r>
          </w:p>
        </w:tc>
        <w:tc>
          <w:tcPr>
            <w:tcW w:type="dxa" w:w="2054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Maven</w:t>
            </w:r>
          </w:p>
        </w:tc>
        <w:tc>
          <w:tcPr>
            <w:tcW w:type="dxa" w:w="1714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hd w:val="clear"/>
                <w:rFonts w:ascii="함초롬바탕" w:eastAsia="함초롬바탕" w:hAnsi="함초롬바탕" w:cs="함초롬바탕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>3.9.12</w:t>
            </w:r>
          </w:p>
        </w:tc>
        <w:tc>
          <w:tcPr>
            <w:tcW w:type="dxa" w:w="2522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</w:p>
        </w:tc>
      </w:tr>
    </w:tbl>
    <w:p>
      <w:pPr>
        <w:spacing w:lineRule="auto" w:line="288" w:after="0"/>
        <w:rPr>
          <w:color w:val="000000"/>
          <w:shd w:val="clear"/>
          <w:rFonts w:ascii="함초롬바탕" w:eastAsia="함초롬바탕" w:hAnsi="함초롬바탕" w:cs="함초롬바탕"/>
        </w:rPr>
      </w:pPr>
    </w:p>
    <w:p>
      <w:pPr>
        <w:numPr>
          <w:numId w:val="1"/>
          <w:ilvl w:val="0"/>
        </w:numPr>
        <w:spacing w:lineRule="auto" w:line="335" w:after="0"/>
        <w:ind w:left="0" w:firstLine="0"/>
        <w:rPr>
          <w:color w:val="000000"/>
          <w:shd w:val="clear"/>
          <w:rFonts w:ascii="함초롬바탕" w:eastAsia="함초롬바탕" w:hAnsi="함초롬바탕" w:cs="함초롬바탕"/>
        </w:rPr>
      </w:pPr>
      <w:r>
        <w:rPr>
          <w:rtl w:val="0"/>
          <w:color w:val="000000"/>
          <w:sz w:val="26"/>
          <w:szCs w:val="26"/>
          <w:shd w:val="clear"/>
          <w:rFonts w:ascii="휴먼명조" w:eastAsia="휴먼명조" w:hAnsi="휴먼명조" w:cs="휴먼명조"/>
        </w:rPr>
        <w:t>server</w:t>
      </w:r>
    </w:p>
    <w:tbl>
      <w:tblID w:val="0"/>
      <w:tblPr>
        <w:tblStyle w:val="PO156"/>
        <w:tblCellMar>
          <w:left w:w="15" w:type="dxa"/>
          <w:top w:w="15" w:type="dxa"/>
          <w:right w:w="15" w:type="dxa"/>
          <w:bottom w:w="15" w:type="dxa"/>
        </w:tblCellMar>
        <w:tblW w:w="8983" w:type="dxa"/>
        <w:tblLook w:val="000400" w:firstRow="0" w:lastRow="0" w:firstColumn="0" w:lastColumn="0" w:noHBand="0" w:noVBand="1"/>
        <w:tblLayout w:type="fixed"/>
      </w:tblPr>
      <w:tblGrid>
        <w:gridCol w:w="2692"/>
        <w:gridCol w:w="3196"/>
        <w:gridCol w:w="1591"/>
        <w:gridCol w:w="1504"/>
      </w:tblGrid>
      <w:tr>
        <w:trPr>
          <w:trHeight w:hRule="atleast" w:val="390"/>
          <w:cantSplit/>
          <w:hidden w:val="0"/>
        </w:trPr>
        <w:tc>
          <w:tcPr>
            <w:tcW w:type="dxa" w:w="269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서버</w:t>
            </w:r>
          </w:p>
        </w:tc>
        <w:tc>
          <w:tcPr>
            <w:tcW w:type="dxa" w:w="3196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버전</w:t>
            </w:r>
          </w:p>
        </w:tc>
        <w:tc>
          <w:tcPr>
            <w:tcW w:type="dxa" w:w="1591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용도</w:t>
            </w:r>
          </w:p>
        </w:tc>
        <w:tc>
          <w:tcPr>
            <w:tcW w:type="dxa" w:w="150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참고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692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spring-boot 내장톰캣</w:t>
            </w:r>
          </w:p>
        </w:tc>
        <w:tc>
          <w:tcPr>
            <w:tcW w:type="dxa" w:w="3196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 xml:space="preserve">Tomcat 10.1.36Tomcat 10.1.36</w:t>
            </w:r>
          </w:p>
        </w:tc>
        <w:tc>
          <w:tcPr>
            <w:tcW w:type="dxa" w:w="1591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>w</w:t>
            </w: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>as</w:t>
            </w:r>
          </w:p>
        </w:tc>
        <w:tc>
          <w:tcPr>
            <w:tcW w:type="dxa" w:w="150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</w:p>
        </w:tc>
      </w:tr>
      <w:tr>
        <w:trPr>
          <w:trHeight w:hRule="atleast" w:val="390"/>
          <w:hidden w:val="0"/>
        </w:trPr>
        <w:tc>
          <w:tcPr>
            <w:tcW w:type="dxa" w:w="2692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 xml:space="preserve">VisualSVN Server</w:t>
            </w:r>
          </w:p>
        </w:tc>
        <w:tc>
          <w:tcPr>
            <w:tcW w:type="dxa" w:w="3196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hd w:val="clear"/>
                <w:rFonts w:ascii="함초롬바탕" w:eastAsia="함초롬바탕" w:hAnsi="함초롬바탕" w:cs="함초롬바탕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>4.0++</w:t>
            </w:r>
          </w:p>
        </w:tc>
        <w:tc>
          <w:tcPr>
            <w:tcW w:type="dxa" w:w="1591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형상관리</w:t>
            </w:r>
          </w:p>
        </w:tc>
        <w:tc>
          <w:tcPr>
            <w:tcW w:type="dxa" w:w="1504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</w:p>
        </w:tc>
      </w:tr>
      <w:tr>
        <w:trPr>
          <w:trHeight w:hRule="atleast" w:val="390"/>
          <w:hidden w:val="0"/>
        </w:trPr>
        <w:tc>
          <w:tcPr>
            <w:tcW w:type="dxa" w:w="2692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>node.js</w:t>
            </w:r>
          </w:p>
        </w:tc>
        <w:tc>
          <w:tcPr>
            <w:tcW w:type="dxa" w:w="3196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hd w:val="clear"/>
                <w:rFonts w:ascii="함초롬바탕" w:eastAsia="함초롬바탕" w:hAnsi="함초롬바탕" w:cs="함초롬바탕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 xml:space="preserve">Node.js 18.17.0 ++</w:t>
            </w:r>
          </w:p>
        </w:tc>
        <w:tc>
          <w:tcPr>
            <w:tcW w:type="dxa" w:w="1591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color w:val="000000"/>
                <w:shd w:val="clear"/>
                <w:rFonts w:ascii="함초롬바탕" w:eastAsia="함초롬바탕" w:hAnsi="함초롬바탕" w:cs="함초롬바탕"/>
              </w:rPr>
              <w:t xml:space="preserve">리엑트 구동용</w:t>
            </w:r>
          </w:p>
        </w:tc>
        <w:tc>
          <w:tcPr>
            <w:tcW w:type="dxa" w:w="1504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</w:p>
        </w:tc>
      </w:tr>
      <w:tr>
        <w:trPr>
          <w:trHeight w:hRule="atleast" w:val="390"/>
          <w:hidden w:val="0"/>
        </w:trPr>
        <w:tc>
          <w:tcPr>
            <w:tcW w:type="dxa" w:w="2692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</w:p>
        </w:tc>
        <w:tc>
          <w:tcPr>
            <w:tcW w:type="dxa" w:w="3196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hd w:val="clear"/>
                <w:rFonts w:ascii="함초롬바탕" w:eastAsia="함초롬바탕" w:hAnsi="함초롬바탕" w:cs="함초롬바탕"/>
              </w:rPr>
            </w:pPr>
          </w:p>
        </w:tc>
        <w:tc>
          <w:tcPr>
            <w:tcW w:type="dxa" w:w="1591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</w:p>
        </w:tc>
        <w:tc>
          <w:tcPr>
            <w:tcW w:type="dxa" w:w="1504"/>
            <w:tcMar>
              <w:left w:w="102" w:type="dxa"/>
              <w:right w:w="102" w:type="dxa"/>
              <w:top w:w="0" w:type="dxa"/>
              <w:bottom w:w="0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</w:p>
        </w:tc>
      </w:tr>
    </w:tbl>
    <w:p>
      <w:pPr>
        <w:spacing w:lineRule="auto" w:line="384" w:after="0"/>
        <w:rPr>
          <w:color w:val="000000"/>
          <w:shd w:val="clear"/>
          <w:rFonts w:ascii="함초롬바탕" w:eastAsia="함초롬바탕" w:hAnsi="함초롬바탕" w:cs="함초롬바탕"/>
        </w:rPr>
      </w:pPr>
    </w:p>
    <w:p>
      <w:pPr>
        <w:numPr>
          <w:numId w:val="1"/>
          <w:ilvl w:val="0"/>
        </w:numPr>
        <w:spacing w:lineRule="auto" w:line="335" w:after="0"/>
        <w:ind w:left="0" w:firstLine="0"/>
        <w:rPr>
          <w:color w:val="000000"/>
          <w:shd w:val="clear"/>
          <w:rFonts w:ascii="함초롬바탕" w:eastAsia="함초롬바탕" w:hAnsi="함초롬바탕" w:cs="함초롬바탕"/>
        </w:rPr>
      </w:pPr>
      <w:r>
        <w:rPr>
          <w:rtl w:val="0"/>
          <w:color w:val="000000"/>
          <w:sz w:val="26"/>
          <w:szCs w:val="26"/>
          <w:shd w:val="clear"/>
          <w:rFonts w:ascii="휴먼명조" w:eastAsia="휴먼명조" w:hAnsi="휴먼명조" w:cs="휴먼명조"/>
        </w:rPr>
        <w:t>language</w:t>
      </w:r>
    </w:p>
    <w:tbl>
      <w:tblID w:val="0"/>
      <w:tblPr>
        <w:tblStyle w:val="PO157"/>
        <w:tblCellMar>
          <w:left w:w="15" w:type="dxa"/>
          <w:top w:w="15" w:type="dxa"/>
          <w:right w:w="15" w:type="dxa"/>
          <w:bottom w:w="15" w:type="dxa"/>
        </w:tblCellMar>
        <w:tblW w:w="8966" w:type="dxa"/>
        <w:tblLook w:val="000400" w:firstRow="0" w:lastRow="0" w:firstColumn="0" w:lastColumn="0" w:noHBand="0" w:noVBand="1"/>
        <w:tblLayout w:type="fixed"/>
      </w:tblPr>
      <w:tblGrid>
        <w:gridCol w:w="3541"/>
        <w:gridCol w:w="2054"/>
        <w:gridCol w:w="3371"/>
      </w:tblGrid>
      <w:tr>
        <w:trPr>
          <w:trHeight w:hRule="atleast" w:val="390"/>
          <w:cantSplit/>
          <w:hidden w:val="0"/>
        </w:trPr>
        <w:tc>
          <w:tcPr>
            <w:tcW w:type="dxa" w:w="3541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구분</w:t>
            </w:r>
          </w:p>
        </w:tc>
        <w:tc>
          <w:tcPr>
            <w:tcW w:type="dxa" w:w="20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버전</w:t>
            </w:r>
          </w:p>
        </w:tc>
        <w:tc>
          <w:tcPr>
            <w:tcW w:type="dxa" w:w="3371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참고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3541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JAVA</w:t>
            </w:r>
          </w:p>
        </w:tc>
        <w:tc>
          <w:tcPr>
            <w:tcW w:type="dxa" w:w="20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21</w:t>
            </w:r>
          </w:p>
        </w:tc>
        <w:tc>
          <w:tcPr>
            <w:tcW w:type="dxa" w:w="3371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</w:p>
        </w:tc>
      </w:tr>
    </w:tbl>
    <w:p>
      <w:pPr>
        <w:spacing w:lineRule="auto" w:line="288" w:after="0"/>
        <w:rPr>
          <w:color w:val="000000"/>
          <w:shd w:val="clear"/>
          <w:rFonts w:ascii="함초롬바탕" w:eastAsia="함초롬바탕" w:hAnsi="함초롬바탕" w:cs="함초롬바탕"/>
        </w:rPr>
      </w:pPr>
    </w:p>
    <w:p>
      <w:pPr>
        <w:spacing w:lineRule="auto" w:line="288" w:after="0"/>
        <w:rPr>
          <w:color w:val="000000"/>
          <w:shd w:val="clear"/>
          <w:rFonts w:ascii="함초롬바탕" w:eastAsia="함초롬바탕" w:hAnsi="함초롬바탕" w:cs="함초롬바탕"/>
        </w:rPr>
      </w:pPr>
    </w:p>
    <w:p>
      <w:pPr>
        <w:numPr>
          <w:numId w:val="1"/>
          <w:ilvl w:val="0"/>
        </w:numPr>
        <w:spacing w:lineRule="auto" w:line="335" w:after="0"/>
        <w:ind w:left="0" w:firstLine="0"/>
        <w:rPr>
          <w:color w:val="000000"/>
          <w:shd w:val="clear"/>
          <w:rFonts w:ascii="함초롬바탕" w:eastAsia="함초롬바탕" w:hAnsi="함초롬바탕" w:cs="함초롬바탕"/>
        </w:rPr>
      </w:pPr>
      <w:r>
        <w:rPr>
          <w:rtl w:val="0"/>
          <w:color w:val="000000"/>
          <w:sz w:val="26"/>
          <w:szCs w:val="26"/>
          <w:shd w:val="clear"/>
          <w:rFonts w:ascii="휴먼명조" w:eastAsia="휴먼명조" w:hAnsi="휴먼명조" w:cs="휴먼명조"/>
        </w:rPr>
        <w:t>DB</w:t>
      </w:r>
    </w:p>
    <w:tbl>
      <w:tblID w:val="0"/>
      <w:tblPr>
        <w:tblStyle w:val="PO158"/>
        <w:tblCellMar>
          <w:left w:w="15" w:type="dxa"/>
          <w:top w:w="15" w:type="dxa"/>
          <w:right w:w="15" w:type="dxa"/>
          <w:bottom w:w="15" w:type="dxa"/>
        </w:tblCellMar>
        <w:tblW w:w="8985" w:type="dxa"/>
        <w:tblLook w:val="000400" w:firstRow="0" w:lastRow="0" w:firstColumn="0" w:lastColumn="0" w:noHBand="0" w:noVBand="1"/>
        <w:tblLayout w:type="fixed"/>
      </w:tblPr>
      <w:tblGrid>
        <w:gridCol w:w="2340"/>
        <w:gridCol w:w="2985"/>
        <w:gridCol w:w="3660"/>
      </w:tblGrid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구분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버전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참고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ORACLE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ojdbc11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관세청_해상수출입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(수출) 운송비용-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20251130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116850/fileData.do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해양수산부_해운항만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물류정보시스템_출항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허가정보-파일데이터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20250731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128146/fileData.do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관세청_유류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보세창고 현황-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20230630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116395/fileData.do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관세청_전자상거래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국제물류센터-파일데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20240630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129399/fileData.do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관세청_품목번호별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관세율표-파일데이터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20260101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051179/fileData.do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관세청_HS부호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단위별 품목명-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20260101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130660/fileData.do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관세청_미국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관세율표-파일데이터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20250714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144524/fileData.do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관세청_중국을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원산지로 하는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수입물품에 적용되는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협정세율-파일데이터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20220125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130384/fileData.do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관세청_해상수출입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(수입) 운송비용-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20251130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116806/fileData.do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한국가스안전공사_이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동식 부탄 및 프로판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연소기 지역별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통관결과-파일데이터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20241231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153001/fileData.do#tab-layer-o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penapi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과학기술정보통신부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국립전파연구원_전파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방송통신시스템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세관국가코드매핑-파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20250630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132490/fileData.do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관세청_개인통관고유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부호발급현황-파일데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20251231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063083/fileData.do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관세청_사업자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통관고유부호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발급현황-파일데이터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20230803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117739/fileData.do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관세청_자동간이환급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실적-파일데이터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20250831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090386/fileData.do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관세청_HSK별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신성질별_성질별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분류-파일데이터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20250101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049720/fileData.do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농림축산식품부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농림축산검역본부_동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축산물 수출검역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EDI송수신자료-파일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20231231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123778/fileData.do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한국가스안전공사_가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스용품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통관결과_이동식연소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기(구)-파일데이터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20241231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066808/fileData.do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한국가스안전공사_가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 xml:space="preserve">스용품 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통관결과_고압가스용</w:t>
            </w:r>
            <w:r>
              <w:rPr>
                <w:rtl w:val="0"/>
                <w:sz w:val="22"/>
                <w:szCs w:val="22"/>
                <w:shd w:val="clear"/>
                <w:rFonts w:ascii="휴먼명조" w:eastAsia="휴먼명조" w:hAnsi="휴먼명조" w:cs="휴먼명조"/>
              </w:rPr>
              <w:t>기(구)-파일데이터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20191231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066805/fileData.do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한국가스안전공사_가스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용품 지역별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통관결과_고압가스용기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_메타-파일데이터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20241231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153014/fileData.do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관세청_AEO 기업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총괄(수출)-파일데이터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20251130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116745/fileData.do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관세청_AEO 기업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총괄(수입)-파일데이터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20251130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116853/fileData.do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식품의약품안전처_식품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등 수입현황_ 연도별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지방청별 품목별-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20231231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136146/fileData.do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관세청_관세 등 징수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실적-파일데이터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20241231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061834/fileData.do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관세청_HS부호-파일데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20260101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049722/fileData.do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관세청_항공수입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운송비용-파일데이터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20251130</w:t>
            </w:r>
            <w:r>
              <w:rPr>
                <w:rtl w:val="0"/>
                <w:sz w:val="24"/>
                <w:szCs w:val="24"/>
                <w:shd w:val="clear"/>
                <w:rFonts w:ascii="Arimo" w:eastAsia="Arimo" w:hAnsi="Arimo" w:cs="Arimo"/>
              </w:rPr>
              <w:t xml:space="preserve"> 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116807/fileData.do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관세청_구매대행업자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등록 현황-파일데이터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20230802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117631/fileData.do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기획재정부_관세법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개정안-파일데이터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20240725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104187/fileData.do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관세청_월별_품목별_국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가별 수출입실적-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20231231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116432/fileData.do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관세청_전자상거래물품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수출실적-파일데이터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20241231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129860/fileData.do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4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관세청_세관별 관세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징수통계-파일데이터</w:t>
            </w:r>
          </w:p>
        </w:tc>
        <w:tc>
          <w:tcPr>
            <w:tcW w:type="dxa" w:w="298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/>
                <w:highlight w:val="white"/>
              </w:rPr>
              <w:t>20231231</w:t>
            </w:r>
          </w:p>
        </w:tc>
        <w:tc>
          <w:tcPr>
            <w:tcW w:type="dxa" w:w="3660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https://www.data.go.kr/data/15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061843/fileData.do</w:t>
            </w:r>
          </w:p>
        </w:tc>
      </w:tr>
    </w:tbl>
    <w:p>
      <w:pPr>
        <w:spacing w:lineRule="auto" w:line="384" w:after="0"/>
        <w:rPr>
          <w:color w:val="000000"/>
          <w:shd w:val="clear"/>
          <w:rFonts w:ascii="함초롬바탕" w:eastAsia="함초롬바탕" w:hAnsi="함초롬바탕" w:cs="함초롬바탕"/>
        </w:rPr>
      </w:pPr>
    </w:p>
    <w:p>
      <w:pPr>
        <w:numPr>
          <w:numId w:val="1"/>
          <w:ilvl w:val="0"/>
        </w:numPr>
        <w:spacing w:lineRule="auto" w:line="335" w:after="0"/>
        <w:ind w:left="0" w:firstLine="0"/>
        <w:rPr>
          <w:color w:val="000000"/>
          <w:shd w:val="clear"/>
          <w:rFonts w:ascii="함초롬바탕" w:eastAsia="함초롬바탕" w:hAnsi="함초롬바탕" w:cs="함초롬바탕"/>
        </w:rPr>
      </w:pPr>
      <w:r>
        <w:rPr>
          <w:rtl w:val="0"/>
          <w:color w:val="000000"/>
          <w:sz w:val="26"/>
          <w:szCs w:val="26"/>
          <w:shd w:val="clear"/>
          <w:rFonts w:ascii="함초롬바탕" w:eastAsia="함초롬바탕" w:hAnsi="함초롬바탕" w:cs="함초롬바탕"/>
        </w:rPr>
        <w:t xml:space="preserve">외부 </w:t>
      </w:r>
      <w:r>
        <w:rPr>
          <w:rtl w:val="0"/>
          <w:color w:val="000000"/>
          <w:sz w:val="26"/>
          <w:szCs w:val="26"/>
          <w:shd w:val="clear"/>
          <w:rFonts w:ascii="휴먼명조" w:eastAsia="휴먼명조" w:hAnsi="휴먼명조" w:cs="휴먼명조"/>
        </w:rPr>
        <w:t>API</w:t>
      </w:r>
    </w:p>
    <w:tbl>
      <w:tblID w:val="0"/>
      <w:tblPr>
        <w:tblStyle w:val="PO159"/>
        <w:tblCellMar>
          <w:left w:w="15" w:type="dxa"/>
          <w:top w:w="15" w:type="dxa"/>
          <w:right w:w="15" w:type="dxa"/>
          <w:bottom w:w="15" w:type="dxa"/>
        </w:tblCellMar>
        <w:tblW w:w="8982" w:type="dxa"/>
        <w:tblLook w:val="000400" w:firstRow="0" w:lastRow="0" w:firstColumn="0" w:lastColumn="0" w:noHBand="0" w:noVBand="1"/>
        <w:tblLayout w:type="fixed"/>
      </w:tblPr>
      <w:tblGrid>
        <w:gridCol w:w="2353"/>
        <w:gridCol w:w="2975"/>
        <w:gridCol w:w="3654"/>
      </w:tblGrid>
      <w:tr>
        <w:trPr>
          <w:trHeight w:hRule="atleast" w:val="390"/>
          <w:cantSplit/>
          <w:hidden w:val="0"/>
        </w:trPr>
        <w:tc>
          <w:tcPr>
            <w:tcW w:type="dxa" w:w="235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구분</w:t>
            </w:r>
          </w:p>
        </w:tc>
        <w:tc>
          <w:tcPr>
            <w:tcW w:type="dxa" w:w="297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용도</w:t>
            </w:r>
          </w:p>
        </w:tc>
        <w:tc>
          <w:tcPr>
            <w:tcW w:type="dxa" w:w="36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참고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5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Gemini api</w:t>
            </w:r>
          </w:p>
        </w:tc>
        <w:tc>
          <w:tcPr>
            <w:tcW w:type="dxa" w:w="297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HS 코드 추천 및 분류 보조</w:t>
            </w:r>
          </w:p>
        </w:tc>
        <w:tc>
          <w:tcPr>
            <w:tcW w:type="dxa" w:w="36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18"/>
                <w:szCs w:val="18"/>
                <w:shd w:val="clear"/>
                <w:rFonts w:ascii="휴먼명조" w:eastAsia="휴먼명조" w:hAnsi="휴먼명조" w:cs="휴먼명조"/>
              </w:rPr>
              <w:t xml:space="preserve">Spring AI 1.1.2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5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관세청_수출이행내역-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공공기관 api</w:t>
            </w:r>
          </w:p>
        </w:tc>
        <w:tc>
          <w:tcPr>
            <w:tcW w:type="dxa" w:w="297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rPr>
                <w:sz w:val="24"/>
                <w:szCs w:val="24"/>
                <w:shd w:val="clear"/>
                <w:rFonts w:ascii="Arimo" w:eastAsia="Arimo" w:hAnsi="Arimo" w:cs="Arimo"/>
              </w:rPr>
            </w:pP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수출 신고 수리 물품이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실제로 배나 비행기에 적재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완료되었는지 확인하여 선적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완료 처리</w:t>
            </w:r>
          </w:p>
        </w:tc>
        <w:tc>
          <w:tcPr>
            <w:tcW w:type="dxa" w:w="36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2775C4"/>
                <w:sz w:val="21"/>
                <w:szCs w:val="21"/>
                <w:u w:val="single"/>
                <w:shd w:val="clear"/>
              </w:rPr>
            </w:pPr>
            <w:r>
              <w:fldChar w:fldCharType="begin"/>
            </w:r>
            <w:r>
              <w:instrText xml:space="preserve">HYPERLINK "https://unipass.customs.go.kr/csp/index.do"</w:instrText>
            </w:r>
            <w:r>
              <w:fldChar w:fldCharType="separate"/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h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: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u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a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c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u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m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g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k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r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c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d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x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d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color w:val="2775C4"/>
                <w:sz w:val="21"/>
                <w:szCs w:val="21"/>
                <w:u w:val="single"/>
                <w:shd w:val="clear"/>
              </w:rPr>
              <w:fldChar w:fldCharType="end"/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5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국토교통부_물류창고업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등록정보-공공기관 api</w:t>
            </w:r>
          </w:p>
        </w:tc>
        <w:tc>
          <w:tcPr>
            <w:tcW w:type="dxa" w:w="297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입출고 작업 시 연동된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보세창고의 법적 등록 상태와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시설 정보를 검증하는 기준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>데이터</w:t>
            </w:r>
          </w:p>
        </w:tc>
        <w:tc>
          <w:tcPr>
            <w:tcW w:type="dxa" w:w="36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 w:color="auto" w:fill="F7F7F7"/>
              </w:rPr>
              <w:t>http://apis.data.go.kr/1611000/wh</w:t>
            </w:r>
            <w:r>
              <w:rPr>
                <w:rtl w:val="0"/>
                <w:color w:val="333333"/>
                <w:sz w:val="21"/>
                <w:szCs w:val="21"/>
                <w:shd w:val="clear" w:color="auto" w:fill="F7F7F7"/>
              </w:rPr>
              <w:t>sinfoview2/WhsInfoList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5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관세청_국가별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입항물동량 실적-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공공기관 api</w:t>
            </w:r>
          </w:p>
        </w:tc>
        <w:tc>
          <w:tcPr>
            <w:tcW w:type="dxa" w:w="297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특정 국가발 화물의 입항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추이를 분석하여 창고 내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검수 및 하역 인력 배치 계획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>수립</w:t>
            </w:r>
          </w:p>
        </w:tc>
        <w:tc>
          <w:tcPr>
            <w:tcW w:type="dxa" w:w="36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18"/>
                <w:szCs w:val="18"/>
                <w:shd w:val="clear"/>
                <w:rFonts w:ascii="휴먼명조" w:eastAsia="휴먼명조" w:hAnsi="휴먼명조" w:cs="휴먼명조"/>
              </w:rPr>
              <w:t xml:space="preserve">REST (GET)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5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관세청_국가별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출항물동량 실적-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공공기관 api</w:t>
            </w:r>
          </w:p>
        </w:tc>
        <w:tc>
          <w:tcPr>
            <w:tcW w:type="dxa" w:w="297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창고에서 나가는 국가별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물동량 흐름을 파악하여 수출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운영 대시보드의 기초 지표로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>활용</w:t>
            </w:r>
          </w:p>
        </w:tc>
        <w:tc>
          <w:tcPr>
            <w:tcW w:type="dxa" w:w="36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18"/>
                <w:szCs w:val="18"/>
                <w:shd w:val="clear"/>
                <w:rFonts w:ascii="휴먼명조" w:eastAsia="휴먼명조" w:hAnsi="휴먼명조" w:cs="휴먼명조"/>
              </w:rPr>
              <w:t xml:space="preserve">REST (GET)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5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식품의약품안전처_해외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직구 위해식품 차단정보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-공공기관 api</w:t>
            </w:r>
          </w:p>
        </w:tc>
        <w:tc>
          <w:tcPr>
            <w:tcW w:type="dxa" w:w="297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위해 성분이 포함된 직구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식품 리스트를 대조하여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리스크 채널(RED)로 자동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분류 및 차단</w:t>
            </w:r>
          </w:p>
        </w:tc>
        <w:tc>
          <w:tcPr>
            <w:tcW w:type="dxa" w:w="36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</w:pPr>
            <w:r>
              <w:fldChar w:fldCharType="begin"/>
            </w:r>
            <w:r>
              <w:instrText xml:space="preserve">HYPERLINK "https://www.foodsafetykorea.go.kr/api/openApiInfo.do?menu_grp=MENU_GRP31&amp;menu_no=661&amp;show_cnt=10&amp;start_idx=1&amp;svc_no=I2715"</w:instrText>
            </w:r>
            <w:r>
              <w:fldChar w:fldCharType="separate"/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h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: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w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w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w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f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d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a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f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y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k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r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a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g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k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r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a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A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f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d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?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m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u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_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g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r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=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M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U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_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G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R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3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1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&amp;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m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u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_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=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6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6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1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&amp;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h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w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_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c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=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1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0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&amp;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a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r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_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d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x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=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1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&amp;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v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c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_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=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2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7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1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5</w:t>
            </w:r>
            <w:r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  <w:fldChar w:fldCharType="end"/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5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법제처_관세청 법령해석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목록 조회-공공기관 api</w:t>
            </w:r>
          </w:p>
        </w:tc>
        <w:tc>
          <w:tcPr>
            <w:tcW w:type="dxa" w:w="297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신고 물품의 품목 분류나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과세 쟁점 발생 시 과거의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유사한 법령 해석 사례를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>검색</w:t>
            </w:r>
          </w:p>
        </w:tc>
        <w:tc>
          <w:tcPr>
            <w:tcW w:type="dxa" w:w="36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</w:pPr>
            <w:r>
              <w:fldChar w:fldCharType="begin"/>
            </w:r>
            <w:r>
              <w:instrText xml:space="preserve">HYPERLINK "https://open.law.go.kr/LSO/openApi/guideResult.do?htmlName=cgmExpcKcsListGuide"</w:instrText>
            </w:r>
            <w:r>
              <w:fldChar w:fldCharType="separate"/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h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: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l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a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w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g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k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r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L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A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g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u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d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R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u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l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d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?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h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m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l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a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m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=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c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g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m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x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c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K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c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L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G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u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d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  <w:fldChar w:fldCharType="end"/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5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법제처_관세청 법령해석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본문 조회-공공기관 api</w:t>
            </w:r>
          </w:p>
        </w:tc>
        <w:tc>
          <w:tcPr>
            <w:tcW w:type="dxa" w:w="297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특정 법령 해석의 상세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본문을 확인하여 세관원이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처분 결정(수리/반려)의 법적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근거로 인용</w:t>
            </w:r>
          </w:p>
        </w:tc>
        <w:tc>
          <w:tcPr>
            <w:tcW w:type="dxa" w:w="36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</w:pPr>
            <w:r>
              <w:fldChar w:fldCharType="begin"/>
            </w:r>
            <w:r>
              <w:instrText xml:space="preserve">HYPERLINK "https://open.law.go.kr/LSO/openApi/guideResult.do?htmlName=cgmExpcKcsInfoGuide"</w:instrText>
            </w:r>
            <w:r>
              <w:fldChar w:fldCharType="separate"/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h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: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l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a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w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g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k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r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L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A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g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u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d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R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u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l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d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?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h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m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l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a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m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=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c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g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m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x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c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K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c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f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G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u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d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  <w:fldChar w:fldCharType="end"/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5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관세청_화물통관진행정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보-공공기관 api</w:t>
            </w:r>
          </w:p>
        </w:tc>
        <w:tc>
          <w:tcPr>
            <w:tcW w:type="dxa" w:w="297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입항 보고부터 반출까지의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화물 상태를 실시간 추적하여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화주에게 타임라인 형태로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>제공</w:t>
            </w:r>
          </w:p>
        </w:tc>
        <w:tc>
          <w:tcPr>
            <w:tcW w:type="dxa" w:w="36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</w:pPr>
            <w:r>
              <w:fldChar w:fldCharType="begin"/>
            </w:r>
            <w:r>
              <w:instrText xml:space="preserve">HYPERLINK "https://unipass.customs.go.kr/csp/index.do"</w:instrText>
            </w:r>
            <w:r>
              <w:fldChar w:fldCharType="separate"/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h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: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u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a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c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u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t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m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g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k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r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c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s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p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/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i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n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d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e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x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.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d</w:t>
            </w:r>
            <w:r>
              <w:rPr>
                <w:rtl w:val="0"/>
                <w:color w:val="2775C4"/>
                <w:sz w:val="21"/>
                <w:szCs w:val="21"/>
                <w:u w:val="single"/>
                <w:shd w:val="clear"/>
              </w:rPr>
              <w:t>o</w:t>
            </w:r>
            <w:r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  <w:fldChar w:fldCharType="end"/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5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관세청_항공 수입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운송비용-공공기관 api</w:t>
            </w:r>
          </w:p>
        </w:tc>
        <w:tc>
          <w:tcPr>
            <w:tcW w:type="dxa" w:w="297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항공 운임의 표준 데이터를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기반으로 화주에게 예상되는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세액 시뮬레이션 결과 제공</w:t>
            </w:r>
          </w:p>
        </w:tc>
        <w:tc>
          <w:tcPr>
            <w:tcW w:type="dxa" w:w="36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18"/>
                <w:szCs w:val="18"/>
                <w:shd w:val="clear"/>
                <w:rFonts w:ascii="휴먼명조" w:eastAsia="휴먼명조" w:hAnsi="휴먼명조" w:cs="휴먼명조"/>
              </w:rPr>
              <w:t xml:space="preserve">REST (GET)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5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관세청_품목별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수출입실적(GW)-공공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기관 api</w:t>
            </w:r>
          </w:p>
        </w:tc>
        <w:tc>
          <w:tcPr>
            <w:tcW w:type="dxa" w:w="297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화주가 취급하는 주요 품목의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전 세계적인 수출입 추이를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분석하여 대시보드에 시각화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>제공</w:t>
            </w:r>
          </w:p>
        </w:tc>
        <w:tc>
          <w:tcPr>
            <w:tcW w:type="dxa" w:w="36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18"/>
                <w:szCs w:val="18"/>
                <w:shd w:val="clear"/>
                <w:rFonts w:ascii="휴먼명조" w:eastAsia="휴먼명조" w:hAnsi="휴먼명조" w:cs="휴먼명조"/>
              </w:rPr>
              <w:t xml:space="preserve">REST (GET)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5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관세청_수출입총괄(G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W)-공공기관 api</w:t>
            </w:r>
          </w:p>
        </w:tc>
        <w:tc>
          <w:tcPr>
            <w:tcW w:type="dxa" w:w="297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국가 전체 수출입 규모와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우리 시스템의 처리량을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비교하여 물동량 점유율 및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성과 측정</w:t>
            </w:r>
          </w:p>
        </w:tc>
        <w:tc>
          <w:tcPr>
            <w:tcW w:type="dxa" w:w="36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sz w:val="18"/>
                <w:szCs w:val="18"/>
                <w:shd w:val="clear"/>
                <w:rFonts w:ascii="휴먼명조" w:eastAsia="휴먼명조" w:hAnsi="휴먼명조" w:cs="휴먼명조"/>
              </w:rPr>
              <w:t xml:space="preserve">REST (GET)</w:t>
            </w:r>
          </w:p>
        </w:tc>
      </w:tr>
      <w:tr>
        <w:trPr>
          <w:trHeight w:hRule="atleast" w:val="390"/>
          <w:cantSplit/>
          <w:hidden w:val="0"/>
        </w:trPr>
        <w:tc>
          <w:tcPr>
            <w:tcW w:type="dxa" w:w="2353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spacing w:lineRule="auto" w:line="384" w:after="0"/>
              <w:rPr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관세청_품목별 국가별 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수출입실적(GW)-공공</w:t>
            </w:r>
            <w:r>
              <w:rPr>
                <w:rtl w:val="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 xml:space="preserve">기관 api</w:t>
            </w:r>
          </w:p>
        </w:tc>
        <w:tc>
          <w:tcPr>
            <w:tcW w:type="dxa" w:w="2975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240" w:after="0"/>
              <w:ind w:left="0" w:firstLine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특정 국가-특정 품목 간의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교역 데이터를 분석하여 향후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 xml:space="preserve">집중 관리해야 할 고위험군 </w:t>
            </w:r>
            <w:r>
              <w:rPr>
                <w:rtl w:val="0"/>
                <w:sz w:val="24"/>
                <w:szCs w:val="24"/>
                <w:shd w:val="clear"/>
                <w:rFonts w:ascii="Arial Unicode MS" w:eastAsia="Arial Unicode MS" w:hAnsi="Arial Unicode MS" w:cs="Arial Unicode MS"/>
              </w:rPr>
              <w:t>선정</w:t>
            </w:r>
          </w:p>
        </w:tc>
        <w:tc>
          <w:tcPr>
            <w:tcW w:type="dxa" w:w="3654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spacing w:lineRule="auto" w:line="384" w:after="0"/>
              <w:rPr>
                <w:color w:val="000000"/>
                <w:sz w:val="18"/>
                <w:szCs w:val="18"/>
                <w:shd w:val="clear"/>
                <w:rFonts w:ascii="휴먼명조" w:eastAsia="휴먼명조" w:hAnsi="휴먼명조" w:cs="휴먼명조"/>
              </w:rPr>
            </w:pPr>
            <w:r>
              <w:rPr>
                <w:rtl w:val="0"/>
                <w:color w:val="333333"/>
                <w:sz w:val="21"/>
                <w:szCs w:val="21"/>
                <w:shd w:val="clear" w:color="auto" w:fill="F7F7F7"/>
              </w:rPr>
              <w:t>http://apis.data.go.kr/1220000/nit</w:t>
            </w:r>
            <w:r>
              <w:rPr>
                <w:rtl w:val="0"/>
                <w:color w:val="333333"/>
                <w:sz w:val="21"/>
                <w:szCs w:val="21"/>
                <w:shd w:val="clear" w:color="auto" w:fill="F7F7F7"/>
              </w:rPr>
              <w:t>emtrade/getNitemtradeList</w:t>
            </w:r>
          </w:p>
        </w:tc>
      </w:tr>
    </w:tbl>
    <w:p>
      <w:pPr>
        <w:spacing w:lineRule="auto" w:line="288" w:after="0"/>
        <w:rPr>
          <w:color w:val="000000"/>
          <w:shd w:val="clear"/>
          <w:rFonts w:ascii="함초롬바탕" w:eastAsia="함초롬바탕" w:hAnsi="함초롬바탕" w:cs="함초롬바탕"/>
        </w:rPr>
      </w:pPr>
    </w:p>
    <w:p>
      <w:pPr>
        <w:spacing w:lineRule="auto" w:line="288" w:after="0"/>
        <w:rPr>
          <w:color w:val="000000"/>
          <w:shd w:val="clear"/>
          <w:rFonts w:ascii="함초롬바탕" w:eastAsia="함초롬바탕" w:hAnsi="함초롬바탕" w:cs="함초롬바탕"/>
        </w:rPr>
      </w:pPr>
    </w:p>
    <w:p>
      <w:pPr>
        <w:numPr>
          <w:numId w:val="1"/>
          <w:ilvl w:val="0"/>
        </w:numPr>
        <w:spacing w:lineRule="auto" w:line="335" w:after="0"/>
        <w:ind w:left="0" w:firstLine="0"/>
        <w:rPr>
          <w:color w:val="000000"/>
          <w:shd w:val="clear"/>
          <w:rFonts w:ascii="함초롬바탕" w:eastAsia="함초롬바탕" w:hAnsi="함초롬바탕" w:cs="함초롬바탕"/>
        </w:rPr>
      </w:pPr>
      <w:r>
        <w:rPr>
          <w:rtl w:val="0"/>
          <w:color w:val="000000"/>
          <w:sz w:val="26"/>
          <w:szCs w:val="26"/>
          <w:shd w:val="clear"/>
          <w:rFonts w:ascii="휴먼명조" w:eastAsia="휴먼명조" w:hAnsi="휴먼명조" w:cs="휴먼명조"/>
        </w:rPr>
        <w:t xml:space="preserve">server-side library</w:t>
      </w:r>
    </w:p>
    <w:tbl>
      <w:tblID w:val="0"/>
      <w:tblPr>
        <w:tblStyle w:val="PO160"/>
        <w:tblCellMar>
          <w:left w:w="99" w:type="dxa"/>
          <w:top w:w="0" w:type="dxa"/>
          <w:right w:w="99" w:type="dxa"/>
          <w:bottom w:w="0" w:type="dxa"/>
        </w:tblCellMar>
        <w:tblW w:w="8790" w:type="dxa"/>
        <w:tblInd w:w="30" w:type="dxa"/>
        <w:tblLook w:val="000400" w:firstRow="0" w:lastRow="0" w:firstColumn="0" w:lastColumn="0" w:noHBand="0" w:noVBand="1"/>
        <w:tblLayout w:type="fixed"/>
      </w:tblPr>
      <w:tblGrid>
        <w:gridCol w:w="2910"/>
        <w:gridCol w:w="2940"/>
        <w:gridCol w:w="2940"/>
      </w:tblGrid>
      <w:tr>
        <w:trPr>
          <w:trHeight w:hRule="atleast" w:val="345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240" w:after="0"/>
              <w:rPr>
                <w:color w:val="000000"/>
                <w:sz w:val="22"/>
                <w:szCs w:val="22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Malgun Gothic" w:eastAsia="Malgun Gothic" w:hAnsi="Malgun Gothic" w:cs="Malgun Gothic"/>
              </w:rPr>
              <w:t>libary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240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widowControl w:val="1"/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버전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240" w:after="0"/>
              <w:rPr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widowControl w:val="1"/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참고</w:t>
            </w:r>
          </w:p>
        </w:tc>
      </w:tr>
      <w:tr>
        <w:trPr>
          <w:trHeight w:hRule="atleast" w:val="54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 xml:space="preserve">Spring / Spring Boot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3.5.9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33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 xml:space="preserve">Spring Security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6.4.2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33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JUnit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5.12.2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54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 xml:space="preserve">Spring file storage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3.5.9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54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 xml:space="preserve">MyBatis(SQL Mapper)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3.0.3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33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 xml:space="preserve">Hibernate Validator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8.0.3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33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Lombok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1.18.42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54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Jsoup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1.18.3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54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 xml:space="preserve">Apache POI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5.4.0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54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 xml:space="preserve">Apache PDFBox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3.0.3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54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 xml:space="preserve">Easy Rules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4.1.0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33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 xml:space="preserve">Java Mail API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2.1.3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54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SLF4J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2.0.17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54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shd w:val="clear"/>
              </w:rPr>
              <w:widowControl w:val="1"/>
            </w:pPr>
            <w:r>
              <w:rPr>
                <w:rtl w:val="0"/>
                <w:shd w:val="clear"/>
              </w:rPr>
              <w:t>Log4j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shd w:val="clear"/>
              </w:rPr>
              <w:widowControl w:val="1"/>
            </w:pPr>
            <w:r>
              <w:rPr>
                <w:rtl w:val="0"/>
                <w:shd w:val="clear"/>
              </w:rPr>
              <w:t>2.24.3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54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 xml:space="preserve">Tesseract OCR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  <w:r>
              <w:rPr>
                <w:rtl w:val="0"/>
                <w:shd w:val="clear"/>
              </w:rPr>
              <w:t>5.13.0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  <w:tr>
        <w:trPr>
          <w:trHeight w:hRule="atleast" w:val="540"/>
          <w:cantSplit/>
          <w:hidden w:val="0"/>
        </w:trPr>
        <w:tc>
          <w:tcPr>
            <w:tcW w:type="dxa" w:w="291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shd w:val="clear"/>
              </w:rPr>
              <w:widowControl w:val="1"/>
            </w:pPr>
            <w:r>
              <w:rPr>
                <w:rtl w:val="0"/>
                <w:shd w:val="clear"/>
              </w:rPr>
              <w:t>JSP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nil" w:color="000000"/>
            </w:tcBorders>
            <w:shd w:val="clear"/>
          </w:tcPr>
          <w:p>
            <w:pPr>
              <w:jc w:val="left"/>
              <w:spacing w:lineRule="auto" w:line="240" w:after="0"/>
              <w:rPr>
                <w:shd w:val="clear"/>
              </w:rPr>
              <w:widowControl w:val="1"/>
            </w:pPr>
            <w:r>
              <w:rPr>
                <w:rtl w:val="0"/>
                <w:shd w:val="clear"/>
              </w:rPr>
              <w:t>3.1</w:t>
            </w:r>
          </w:p>
        </w:tc>
        <w:tc>
          <w:tcPr>
            <w:tcW w:type="dxa" w:w="2940"/>
            <w:tcMar>
              <w:left w:w="100" w:type="dxa"/>
              <w:right w:w="100" w:type="dxa"/>
              <w:top w:w="100" w:type="dxa"/>
              <w:bottom w:w="100" w:type="dxa"/>
            </w:tcMar>
            <w:vAlign w:val="center"/>
            <w:tcBorders>
              <w:bottom w:val="single" w:color="000000" w:sz="4"/>
              <w:left w:val="nil" w:color="000000"/>
              <w:right w:val="nil" w:color="000000"/>
              <w:top w:val="nil" w:color="000000"/>
            </w:tcBorders>
            <w:shd w:val="clear"/>
          </w:tcPr>
          <w:p>
            <w:pPr>
              <w:jc w:val="center"/>
              <w:spacing w:lineRule="auto" w:line="240" w:after="0"/>
              <w:rPr>
                <w:color w:val="000000"/>
                <w:shd w:val="clear"/>
                <w:rFonts w:ascii="Malgun Gothic" w:eastAsia="Malgun Gothic" w:hAnsi="Malgun Gothic" w:cs="Malgun Gothic"/>
              </w:rPr>
              <w:widowControl w:val="1"/>
            </w:pPr>
          </w:p>
        </w:tc>
      </w:tr>
    </w:tbl>
    <w:p>
      <w:pPr>
        <w:spacing w:lineRule="auto" w:line="311" w:after="0"/>
        <w:rPr>
          <w:color w:val="000000"/>
          <w:shd w:val="clear"/>
          <w:rFonts w:ascii="함초롬바탕" w:eastAsia="함초롬바탕" w:hAnsi="함초롬바탕" w:cs="함초롬바탕"/>
        </w:rPr>
      </w:pPr>
    </w:p>
    <w:p>
      <w:pPr>
        <w:numPr>
          <w:numId w:val="1"/>
          <w:ilvl w:val="0"/>
        </w:numPr>
        <w:spacing w:lineRule="auto" w:line="335" w:after="0"/>
        <w:ind w:left="0" w:firstLine="0"/>
        <w:rPr>
          <w:color w:val="000000"/>
          <w:shd w:val="clear"/>
          <w:rFonts w:ascii="함초롬바탕" w:eastAsia="함초롬바탕" w:hAnsi="함초롬바탕" w:cs="함초롬바탕"/>
        </w:rPr>
      </w:pPr>
      <w:r>
        <w:rPr>
          <w:rtl w:val="0"/>
          <w:color w:val="000000"/>
          <w:sz w:val="26"/>
          <w:szCs w:val="26"/>
          <w:shd w:val="clear"/>
          <w:rFonts w:ascii="휴먼명조" w:eastAsia="휴먼명조" w:hAnsi="휴먼명조" w:cs="휴먼명조"/>
        </w:rPr>
        <w:t xml:space="preserve">client-side lib</w:t>
      </w:r>
      <w:r>
        <w:rPr>
          <w:rtl w:val="0"/>
          <w:sz w:val="26"/>
          <w:szCs w:val="26"/>
          <w:shd w:val="clear"/>
          <w:rFonts w:ascii="휴먼명조" w:eastAsia="휴먼명조" w:hAnsi="휴먼명조" w:cs="휴먼명조"/>
        </w:rPr>
        <w:t>r</w:t>
      </w:r>
      <w:r>
        <w:rPr>
          <w:rtl w:val="0"/>
          <w:color w:val="000000"/>
          <w:sz w:val="26"/>
          <w:szCs w:val="26"/>
          <w:shd w:val="clear"/>
          <w:rFonts w:ascii="휴먼명조" w:eastAsia="휴먼명조" w:hAnsi="휴먼명조" w:cs="휴먼명조"/>
        </w:rPr>
        <w:t>ary</w:t>
      </w:r>
    </w:p>
    <w:tbl>
      <w:tblID w:val="0"/>
      <w:tblPr>
        <w:tblStyle w:val="PO161"/>
        <w:tblCellMar>
          <w:left w:w="15" w:type="dxa"/>
          <w:top w:w="15" w:type="dxa"/>
          <w:right w:w="15" w:type="dxa"/>
          <w:bottom w:w="15" w:type="dxa"/>
        </w:tblCellMar>
        <w:tblW w:w="8957" w:type="dxa"/>
        <w:tblLook w:val="000400" w:firstRow="0" w:lastRow="0" w:firstColumn="0" w:lastColumn="0" w:noHBand="0" w:noVBand="1"/>
        <w:tblLayout w:type="fixed"/>
      </w:tblPr>
      <w:tblGrid>
        <w:gridCol w:w="2239"/>
        <w:gridCol w:w="2239"/>
        <w:gridCol w:w="4479"/>
      </w:tblGrid>
      <w:tr>
        <w:trPr>
          <w:trHeight w:hRule="atleast" w:val="390"/>
          <w:cantSplit/>
          <w:hidden w:val="0"/>
        </w:trPr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libary</w:t>
            </w:r>
          </w:p>
        </w:tc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버전</w:t>
            </w:r>
          </w:p>
        </w:tc>
        <w:tc>
          <w:tcPr>
            <w:tcW w:type="dxa" w:w="44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참고</w:t>
            </w:r>
          </w:p>
        </w:tc>
      </w:tr>
      <w:tr>
        <w:trPr>
          <w:trHeight w:hRule="atleast" w:val="370"/>
          <w:cantSplit/>
          <w:hidden w:val="0"/>
        </w:trPr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React</w:t>
            </w:r>
          </w:p>
        </w:tc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19.2.3</w:t>
            </w:r>
          </w:p>
        </w:tc>
        <w:tc>
          <w:tcPr>
            <w:tcW w:type="dxa" w:w="44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</w:p>
        </w:tc>
      </w:tr>
      <w:tr>
        <w:trPr>
          <w:trHeight w:hRule="atleast" w:val="370"/>
          <w:cantSplit/>
          <w:hidden w:val="0"/>
        </w:trPr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 xml:space="preserve">TanStack Query</w:t>
            </w:r>
          </w:p>
        </w:tc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5.66.0</w:t>
            </w:r>
          </w:p>
        </w:tc>
        <w:tc>
          <w:tcPr>
            <w:tcW w:type="dxa" w:w="44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</w:p>
        </w:tc>
      </w:tr>
      <w:tr>
        <w:trPr>
          <w:trHeight w:hRule="atleast" w:val="370"/>
          <w:cantSplit/>
          <w:hidden w:val="0"/>
        </w:trPr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384" w:after="0"/>
              <w:rPr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TinyMCE</w:t>
            </w:r>
          </w:p>
        </w:tc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6.8.0</w:t>
            </w:r>
          </w:p>
        </w:tc>
        <w:tc>
          <w:tcPr>
            <w:tcW w:type="dxa" w:w="44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</w:p>
        </w:tc>
      </w:tr>
    </w:tbl>
    <w:p>
      <w:pPr>
        <w:spacing w:lineRule="auto" w:line="311" w:after="0"/>
        <w:rPr>
          <w:color w:val="000000"/>
          <w:shd w:val="clear"/>
          <w:rFonts w:ascii="함초롬바탕" w:eastAsia="함초롬바탕" w:hAnsi="함초롬바탕" w:cs="함초롬바탕"/>
        </w:rPr>
      </w:pPr>
    </w:p>
    <w:p>
      <w:pPr>
        <w:numPr>
          <w:numId w:val="1"/>
          <w:ilvl w:val="0"/>
        </w:numPr>
        <w:spacing w:lineRule="auto" w:line="335" w:after="0"/>
        <w:ind w:left="0" w:firstLine="0"/>
        <w:rPr>
          <w:color w:val="000000"/>
          <w:shd w:val="clear"/>
          <w:rFonts w:ascii="함초롬바탕" w:eastAsia="함초롬바탕" w:hAnsi="함초롬바탕" w:cs="함초롬바탕"/>
        </w:rPr>
      </w:pPr>
      <w:r>
        <w:rPr>
          <w:rtl w:val="0"/>
          <w:color w:val="000000"/>
          <w:sz w:val="26"/>
          <w:szCs w:val="26"/>
          <w:shd w:val="clear"/>
          <w:rFonts w:ascii="휴먼명조" w:eastAsia="휴먼명조" w:hAnsi="휴먼명조" w:cs="휴먼명조"/>
        </w:rPr>
        <w:t xml:space="preserve">UI library(template)</w:t>
      </w:r>
    </w:p>
    <w:tbl>
      <w:tblID w:val="0"/>
      <w:tblPr>
        <w:tblStyle w:val="PO162"/>
        <w:tblCellMar>
          <w:left w:w="15" w:type="dxa"/>
          <w:top w:w="15" w:type="dxa"/>
          <w:right w:w="15" w:type="dxa"/>
          <w:bottom w:w="15" w:type="dxa"/>
        </w:tblCellMar>
        <w:tblW w:w="8957" w:type="dxa"/>
        <w:tblLook w:val="000400" w:firstRow="0" w:lastRow="0" w:firstColumn="0" w:lastColumn="0" w:noHBand="0" w:noVBand="1"/>
        <w:tblLayout w:type="fixed"/>
      </w:tblPr>
      <w:tblGrid>
        <w:gridCol w:w="2239"/>
        <w:gridCol w:w="2239"/>
        <w:gridCol w:w="4479"/>
      </w:tblGrid>
      <w:tr>
        <w:trPr>
          <w:trHeight w:hRule="atleast" w:val="390"/>
          <w:cantSplit/>
          <w:hidden w:val="0"/>
        </w:trPr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library(template)</w:t>
            </w:r>
          </w:p>
        </w:tc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버전</w:t>
            </w:r>
          </w:p>
        </w:tc>
        <w:tc>
          <w:tcPr>
            <w:tcW w:type="dxa" w:w="44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참고</w:t>
            </w:r>
          </w:p>
        </w:tc>
      </w:tr>
      <w:tr>
        <w:trPr>
          <w:trHeight w:hRule="atleast" w:val="370"/>
          <w:cantSplit/>
          <w:hidden w:val="0"/>
        </w:trPr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 xml:space="preserve">Tailwind CSS / </w:t>
            </w: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Bootstrap</w:t>
            </w:r>
          </w:p>
        </w:tc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3.4.17</w:t>
            </w:r>
          </w:p>
        </w:tc>
        <w:tc>
          <w:tcPr>
            <w:tcW w:type="dxa" w:w="44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</w:p>
        </w:tc>
      </w:tr>
      <w:tr>
        <w:trPr>
          <w:trHeight w:hRule="atleast" w:val="370"/>
          <w:cantSplit/>
          <w:hidden w:val="0"/>
        </w:trPr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384" w:after="0"/>
              <w:rPr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Recharts</w:t>
            </w:r>
          </w:p>
        </w:tc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2.15.0</w:t>
            </w:r>
          </w:p>
        </w:tc>
        <w:tc>
          <w:tcPr>
            <w:tcW w:type="dxa" w:w="44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</w:p>
        </w:tc>
      </w:tr>
      <w:tr>
        <w:trPr>
          <w:trHeight w:hRule="atleast" w:val="370"/>
          <w:cantSplit/>
          <w:hidden w:val="0"/>
        </w:trPr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384" w:after="0"/>
              <w:rPr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Chart.js</w:t>
            </w:r>
          </w:p>
        </w:tc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shd w:val="clear"/>
                <w:rFonts w:ascii="함초롬바탕" w:eastAsia="함초롬바탕" w:hAnsi="함초롬바탕" w:cs="함초롬바탕"/>
              </w:rPr>
              <w:t>4.4.7</w:t>
            </w:r>
          </w:p>
        </w:tc>
        <w:tc>
          <w:tcPr>
            <w:tcW w:type="dxa" w:w="44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12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</w:p>
        </w:tc>
      </w:tr>
    </w:tbl>
    <w:p>
      <w:pPr>
        <w:spacing w:lineRule="auto" w:line="311" w:after="0"/>
        <w:rPr>
          <w:color w:val="000000"/>
          <w:shd w:val="clear"/>
          <w:rFonts w:ascii="함초롬바탕" w:eastAsia="함초롬바탕" w:hAnsi="함초롬바탕" w:cs="함초롬바탕"/>
        </w:rPr>
      </w:pPr>
    </w:p>
    <w:p>
      <w:pPr>
        <w:numPr>
          <w:numId w:val="1"/>
          <w:ilvl w:val="0"/>
        </w:numPr>
        <w:spacing w:lineRule="auto" w:line="335" w:after="0"/>
        <w:ind w:left="0" w:firstLine="0"/>
        <w:rPr>
          <w:color w:val="000000"/>
          <w:shd w:val="clear"/>
          <w:rFonts w:ascii="함초롬바탕" w:eastAsia="함초롬바탕" w:hAnsi="함초롬바탕" w:cs="함초롬바탕"/>
        </w:rPr>
      </w:pPr>
      <w:r>
        <w:rPr>
          <w:rtl w:val="0"/>
          <w:color w:val="000000"/>
          <w:sz w:val="26"/>
          <w:szCs w:val="26"/>
          <w:shd w:val="clear"/>
          <w:rFonts w:ascii="휴먼명조" w:eastAsia="휴먼명조" w:hAnsi="휴먼명조" w:cs="휴먼명조"/>
        </w:rPr>
        <w:t>browser</w:t>
      </w:r>
    </w:p>
    <w:tbl>
      <w:tblID w:val="0"/>
      <w:tblPr>
        <w:tblStyle w:val="PO163"/>
        <w:tblCellMar>
          <w:left w:w="15" w:type="dxa"/>
          <w:top w:w="15" w:type="dxa"/>
          <w:right w:w="15" w:type="dxa"/>
          <w:bottom w:w="15" w:type="dxa"/>
        </w:tblCellMar>
        <w:tblW w:w="8957" w:type="dxa"/>
        <w:tblLook w:val="000400" w:firstRow="0" w:lastRow="0" w:firstColumn="0" w:lastColumn="0" w:noHBand="0" w:noVBand="1"/>
        <w:tblLayout w:type="fixed"/>
      </w:tblPr>
      <w:tblGrid>
        <w:gridCol w:w="2239"/>
        <w:gridCol w:w="2239"/>
        <w:gridCol w:w="4479"/>
      </w:tblGrid>
      <w:tr>
        <w:trPr>
          <w:trHeight w:hRule="atleast" w:val="390"/>
          <w:cantSplit/>
          <w:hidden w:val="0"/>
        </w:trPr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browser</w:t>
            </w:r>
          </w:p>
        </w:tc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버전</w:t>
            </w:r>
          </w:p>
        </w:tc>
        <w:tc>
          <w:tcPr>
            <w:tcW w:type="dxa" w:w="44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12"/>
            </w:tcBorders>
            <w:shd w:val="clear" w:fill="D8D8D8"/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  <w:r>
              <w:rPr>
                <w:rtl w:val="0"/>
                <w:color w:val="000000"/>
                <w:sz w:val="22"/>
                <w:szCs w:val="22"/>
                <w:shd w:val="clear"/>
                <w:rFonts w:ascii="함초롬바탕" w:eastAsia="함초롬바탕" w:hAnsi="함초롬바탕" w:cs="함초롬바탕"/>
              </w:rPr>
              <w:t>참고</w:t>
            </w:r>
          </w:p>
        </w:tc>
      </w:tr>
      <w:tr>
        <w:trPr>
          <w:trHeight w:hRule="atleast" w:val="370"/>
          <w:cantSplit/>
          <w:hidden w:val="0"/>
        </w:trPr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nil" w:color="000000"/>
              <w:right w:val="single" w:color="000000" w:sz="4"/>
              <w:top w:val="single" w:color="000000" w:sz="4"/>
            </w:tcBorders>
          </w:tcPr>
          <w:p>
            <w:pPr>
              <w:jc w:val="left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</w:p>
        </w:tc>
        <w:tc>
          <w:tcPr>
            <w:tcW w:type="dxa" w:w="223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single" w:color="000000" w:sz="4"/>
              <w:top w:val="single" w:color="000000" w:sz="4"/>
            </w:tcBorders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</w:p>
        </w:tc>
        <w:tc>
          <w:tcPr>
            <w:tcW w:type="dxa" w:w="4479"/>
            <w:tcMar>
              <w:left w:w="102" w:type="dxa"/>
              <w:right w:w="102" w:type="dxa"/>
              <w:top w:w="28" w:type="dxa"/>
              <w:bottom w:w="28" w:type="dxa"/>
            </w:tcMar>
            <w:vAlign w:val="center"/>
            <w:tcBorders>
              <w:bottom w:val="single" w:color="000000" w:sz="4"/>
              <w:left w:val="single" w:color="000000" w:sz="4"/>
              <w:right w:val="nil" w:color="000000"/>
              <w:top w:val="single" w:color="000000" w:sz="4"/>
            </w:tcBorders>
          </w:tcPr>
          <w:p>
            <w:pPr>
              <w:jc w:val="center"/>
              <w:spacing w:lineRule="auto" w:line="384" w:after="0"/>
              <w:rPr>
                <w:color w:val="000000"/>
                <w:shd w:val="clear"/>
                <w:rFonts w:ascii="함초롬바탕" w:eastAsia="함초롬바탕" w:hAnsi="함초롬바탕" w:cs="함초롬바탕"/>
              </w:rPr>
            </w:pPr>
          </w:p>
        </w:tc>
      </w:tr>
    </w:tbl>
    <w:p>
      <w:pPr>
        <w:spacing w:lineRule="auto" w:line="311" w:after="0"/>
        <w:rPr>
          <w:color w:val="000000"/>
          <w:shd w:val="clear"/>
          <w:rFonts w:ascii="함초롬바탕" w:eastAsia="함초롬바탕" w:hAnsi="함초롬바탕" w:cs="함초롬바탕"/>
        </w:rPr>
      </w:pPr>
    </w:p>
    <w:p>
      <w:pPr>
        <w:spacing w:lineRule="auto" w:line="384" w:after="0"/>
        <w:rPr>
          <w:color w:val="000000"/>
          <w:shd w:val="clear"/>
          <w:rFonts w:ascii="함초롬바탕" w:eastAsia="함초롬바탕" w:hAnsi="함초롬바탕" w:cs="함초롬바탕"/>
        </w:rPr>
      </w:pPr>
    </w:p>
    <w:p>
      <w:pPr>
        <w:rPr>
          <w:shd w:val="clear"/>
        </w:rPr>
      </w:pPr>
    </w:p>
    <w:sectPr>
      <w15:footnoteColumns w:val="1"/>
      <w:pgSz w:w="11906" w:h="16838"/>
      <w:pgMar w:top="1701" w:left="1440" w:bottom="1440" w:right="1440" w:header="851" w:footer="992" w:gutter="0"/>
      <w:pgNumType w:fmt="decimal" w:start="1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Malgun Gothic">
    <w:panose1/>
    <w:charset w:val="81"/>
    <w:family w:val="auto"/>
    <w:pitch w:val="default"/>
    <w:sig w:usb0="00000000" w:usb1="00000000" w:usb2="00000000" w:usb3="00000000" w:csb0="00000000" w:csb1="00000000"/>
  </w:font>
  <w:font w:name="Georgia">
    <w:panose1/>
    <w:charset w:val="81"/>
    <w:family w:val="auto"/>
    <w:pitch w:val="default"/>
    <w:sig w:usb0="00000000" w:usb1="00000000" w:usb2="00000000" w:usb3="00000000" w:csb0="00000000" w:csb1="00000000"/>
  </w:font>
  <w:font w:name="Arial Unicode MS">
    <w:panose1/>
    <w:charset w:val="81"/>
    <w:family w:val="auto"/>
    <w:pitch w:val="default"/>
    <w:sig w:usb0="00000000" w:usb1="00000000" w:usb2="00000000" w:usb3="00000000" w:csb0="00000000" w:csb1="00000000"/>
  </w:font>
  <w:font w:name="Arimo">
    <w:panose1/>
    <w:charset w:val="81"/>
    <w:family w:val="auto"/>
    <w:pitch w:val="default"/>
    <w:sig w:usb0="00000000" w:usb1="00000000" w:usb2="00000000" w:usb3="00000000" w:csb0="00000000" w:csb1="00000000"/>
    <w:embedRegular r:id="rId3" w:subsetted="0" w:fontKey="{00000000-0000-0000-0000-000000000000}"/>
  </w:font>
  <w:font w:name="휴먼명조">
    <w:panose1/>
    <w:charset w:val="81"/>
    <w:family w:val="auto"/>
    <w:pitch w:val="default"/>
    <w:sig w:usb0="00000000" w:usb1="00000000" w:usb2="00000000" w:usb3="00000000" w:csb0="00000000" w:csb1="00000000"/>
  </w:font>
  <w:font w:name="함초롬바탕">
    <w:panose1/>
    <w:charset w:val="81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35147D0B"/>
    <w:lvl w:ilvl="0">
      <w:lvlJc w:val="left"/>
      <w:numFmt w:val="decimal"/>
      <w:start w:val="1"/>
      <w:suff w:val="tab"/>
      <w:pPr>
        <w:ind w:left="0" w:firstLine="0"/>
        <w:rPr/>
      </w:pPr>
      <w:rPr>
        <w:shd w:val="clear"/>
      </w:rPr>
      <w:lvlText w:val="%1."/>
    </w:lvl>
    <w:lvl w:ilvl="1">
      <w:lvlJc w:val="left"/>
      <w:numFmt w:val="decimal"/>
      <w:start w:val="1"/>
      <w:suff w:val="tab"/>
      <w:pPr>
        <w:ind w:left="0" w:firstLine="0"/>
        <w:rPr/>
      </w:pPr>
      <w:rPr>
        <w:shd w:val="clear"/>
      </w:rPr>
      <w:lvlText w:val="%2."/>
    </w:lvl>
    <w:lvl w:ilvl="2">
      <w:lvlJc w:val="left"/>
      <w:numFmt w:val="decimal"/>
      <w:start w:val="1"/>
      <w:suff w:val="tab"/>
      <w:pPr>
        <w:ind w:left="0" w:firstLine="0"/>
        <w:rPr/>
      </w:pPr>
      <w:rPr>
        <w:shd w:val="clear"/>
      </w:rPr>
      <w:lvlText w:val="%3)"/>
    </w:lvl>
    <w:lvl w:ilvl="3">
      <w:lvlJc w:val="left"/>
      <w:numFmt w:val="decimal"/>
      <w:start w:val="1"/>
      <w:suff w:val="tab"/>
      <w:pPr>
        <w:ind w:left="0" w:firstLine="0"/>
        <w:rPr/>
      </w:pPr>
      <w:rPr>
        <w:shd w:val="clear"/>
      </w:rPr>
      <w:lvlText w:val="%4)"/>
    </w:lvl>
    <w:lvl w:ilvl="4">
      <w:lvlJc w:val="left"/>
      <w:numFmt w:val="decimal"/>
      <w:start w:val="1"/>
      <w:suff w:val="tab"/>
      <w:pPr>
        <w:ind w:left="0" w:firstLine="0"/>
        <w:rPr/>
      </w:pPr>
      <w:rPr>
        <w:shd w:val="clear"/>
      </w:rPr>
      <w:lvlText w:val="(%5)"/>
    </w:lvl>
    <w:lvl w:ilvl="5">
      <w:lvlJc w:val="left"/>
      <w:numFmt w:val="decimal"/>
      <w:start w:val="1"/>
      <w:suff w:val="tab"/>
      <w:pPr>
        <w:ind w:left="0" w:firstLine="0"/>
        <w:rPr/>
      </w:pPr>
      <w:rPr>
        <w:shd w:val="clear"/>
      </w:rPr>
      <w:lvlText w:val="(%6)"/>
    </w:lvl>
    <w:lvl w:ilvl="6">
      <w:lvlJc w:val="left"/>
      <w:numFmt w:val="decimal"/>
      <w:start w:val="1"/>
      <w:suff w:val="tab"/>
      <w:pPr>
        <w:ind w:left="0" w:firstLine="0"/>
        <w:rPr/>
      </w:pPr>
      <w:rPr>
        <w:shd w:val="clear"/>
      </w:rPr>
      <w:lvlText w:val="%7"/>
    </w:lvl>
    <w:lvl w:ilvl="7">
      <w:lvlJc w:val="left"/>
      <w:numFmt w:val="decimal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720"/>
  <w:displayHorizontalDrawingGridEvery w:val="0"/>
  <w:displayVerticalDrawingGridEvery w:val="2"/>
  <w:noPunctuationKerning/>
  <w:characterSpacingControl w:val="doNotCompress"/>
  <w:bordersDoNotSurroundHeader/>
  <w:bordersDoNotSurroundFooter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  <w:widowControl w:val="0"/>
      </w:pPr>
    </w:pPrDefault>
    <w:rPrDefault>
      <w:rPr>
        <w:shd w:val="clear"/>
        <w:rFonts w:ascii="Malgun Gothic" w:eastAsia="Malgun Gothic" w:hAnsi="Malgun Gothic" w:cs="Malgun Gothic"/>
        <w:lang w:val=""/>
      </w:rPr>
    </w:rPrDefault>
  </w:docDefaults>
  <w:style w:default="1" w:styleId="PO1" w:type="paragraph">
    <w:name w:val="Normal"/>
    <w:next w:val="PO1"/>
    <w:qFormat/>
    <w:uiPriority w:val="-1"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/>
      <w:rFonts w:ascii="나눔바른고딕" w:eastAsia="나눔바른고딕" w:hAnsi="나눔바른고딕" w:cs="나눔바른고딕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6" w:type="paragraph">
    <w:name w:val="Title"/>
    <w:basedOn w:val="PO153"/>
    <w:next w:val="PO153"/>
    <w:pPr>
      <w:spacing w:before="480" w:after="120"/>
      <w:pageBreakBefore w:val="0"/>
      <w:rPr/>
    </w:pPr>
    <w:rPr>
      <w:b w:val="1"/>
      <w:sz w:val="72"/>
      <w:szCs w:val="72"/>
      <w:shd w:val="clear"/>
    </w:rPr>
  </w:style>
  <w:style w:styleId="PO7" w:type="paragraph">
    <w:name w:val="heading 1"/>
    <w:basedOn w:val="PO153"/>
    <w:next w:val="PO153"/>
    <w:pPr>
      <w:spacing w:before="480" w:after="120"/>
      <w:pageBreakBefore w:val="0"/>
      <w:rPr/>
    </w:pPr>
    <w:rPr>
      <w:b w:val="1"/>
      <w:sz w:val="48"/>
      <w:szCs w:val="48"/>
      <w:shd w:val="clear"/>
    </w:rPr>
  </w:style>
  <w:style w:styleId="PO8" w:type="paragraph">
    <w:name w:val="heading 2"/>
    <w:basedOn w:val="PO153"/>
    <w:next w:val="PO153"/>
    <w:pPr>
      <w:spacing w:before="360" w:after="80"/>
      <w:pageBreakBefore w:val="0"/>
      <w:rPr/>
    </w:pPr>
    <w:rPr>
      <w:b w:val="1"/>
      <w:sz w:val="36"/>
      <w:szCs w:val="36"/>
      <w:shd w:val="clear"/>
    </w:rPr>
  </w:style>
  <w:style w:styleId="PO9" w:type="paragraph">
    <w:name w:val="heading 3"/>
    <w:basedOn w:val="PO153"/>
    <w:next w:val="PO153"/>
    <w:pPr>
      <w:spacing w:before="280" w:after="80"/>
      <w:pageBreakBefore w:val="0"/>
      <w:rPr/>
    </w:pPr>
    <w:rPr>
      <w:b w:val="1"/>
      <w:sz w:val="28"/>
      <w:szCs w:val="28"/>
      <w:shd w:val="clear"/>
    </w:rPr>
  </w:style>
  <w:style w:styleId="PO10" w:type="paragraph">
    <w:name w:val="heading 4"/>
    <w:basedOn w:val="PO153"/>
    <w:next w:val="PO153"/>
    <w:pPr>
      <w:spacing w:before="240" w:after="40"/>
      <w:pageBreakBefore w:val="0"/>
      <w:rPr/>
    </w:pPr>
    <w:rPr>
      <w:b w:val="1"/>
      <w:sz w:val="24"/>
      <w:szCs w:val="24"/>
      <w:shd w:val="clear"/>
    </w:rPr>
  </w:style>
  <w:style w:styleId="PO11" w:type="paragraph">
    <w:name w:val="heading 5"/>
    <w:basedOn w:val="PO153"/>
    <w:next w:val="PO153"/>
    <w:pPr>
      <w:spacing w:before="220" w:after="40"/>
      <w:pageBreakBefore w:val="0"/>
      <w:rPr/>
    </w:pPr>
    <w:rPr>
      <w:b w:val="1"/>
      <w:sz w:val="22"/>
      <w:szCs w:val="22"/>
      <w:shd w:val="clear"/>
    </w:rPr>
  </w:style>
  <w:style w:styleId="PO12" w:type="paragraph">
    <w:name w:val="heading 6"/>
    <w:basedOn w:val="PO153"/>
    <w:next w:val="PO153"/>
    <w:pPr>
      <w:spacing w:before="200" w:after="40"/>
      <w:pageBreakBefore w:val="0"/>
      <w:rPr/>
    </w:pPr>
    <w:rPr>
      <w:b w:val="1"/>
      <w:sz w:val="20"/>
      <w:szCs w:val="20"/>
      <w:shd w:val="clear"/>
    </w:rPr>
  </w:style>
  <w:style w:styleId="PO16" w:type="paragraph">
    <w:name w:val="Subtitle"/>
    <w:basedOn w:val="PO153"/>
    <w:next w:val="PO153"/>
    <w:pPr>
      <w:spacing w:before="360" w:after="80"/>
      <w:pageBreakBefore w:val="0"/>
      <w:rPr/>
    </w:pPr>
    <w:rPr>
      <w:i w:val="1"/>
      <w:color w:val="666666"/>
      <w:sz w:val="48"/>
      <w:szCs w:val="48"/>
      <w:shd w:val="clear"/>
      <w:rFonts w:ascii="Georgia" w:eastAsia="Georgia" w:hAnsi="Georgia" w:cs="Georgia"/>
    </w:rPr>
  </w:style>
  <w:style w:default="1" w:styleId="PO152" w:type="table">
    <w:name w:val="TableNormal"/>
    <w:tblPr>
      <w:tblCellMar>
        <w:bottom w:type="dxa" w:w="100"/>
        <w:left w:type="dxa" w:w="100"/>
        <w:right w:type="dxa" w:w="100"/>
        <w:top w:type="dxa" w:w="100"/>
      </w:tblCellMar>
    </w:tblPr>
  </w:style>
  <w:style w:default="1" w:styleId="PO153" w:type="paragraph">
    <w:name w:val="normal"/>
  </w:style>
  <w:style w:customStyle="1" w:styleId="PO154" w:type="paragraph">
    <w:name w:val="바탕글"/>
    <w:pPr>
      <w:spacing w:lineRule="auto" w:line="384" w:after="0"/>
      <w:rPr/>
    </w:pPr>
    <w:rPr>
      <w:color w:val="000000"/>
      <w:shd w:val="clear"/>
      <w:rFonts w:ascii="함초롬바탕" w:eastAsia="굴림" w:hAnsi="굴림" w:cs="굴림"/>
    </w:rPr>
  </w:style>
  <w:style w:styleId="PO155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56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57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58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59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60" w:type="table">
    <w:name w:val="Standard"/>
    <w:basedOn w:val="PO152"/>
    <w:tblPr>
      <w:tblCellMar>
        <w:bottom w:type="dxa" w:w="0"/>
        <w:left w:type="dxa" w:w="99"/>
        <w:right w:type="dxa" w:w="99"/>
        <w:top w:type="dxa" w:w="0"/>
      </w:tblCellMar>
      <w:tblStyleColBandSize w:val="1"/>
      <w:tblStyleRowBandSize w:val="1"/>
    </w:tblPr>
  </w:style>
  <w:style w:styleId="PO161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62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63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64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65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66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67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68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69" w:type="table">
    <w:name w:val="Standard"/>
    <w:basedOn w:val="PO152"/>
    <w:tblPr>
      <w:tblCellMar>
        <w:bottom w:type="dxa" w:w="0"/>
        <w:left w:type="dxa" w:w="99"/>
        <w:right w:type="dxa" w:w="99"/>
        <w:top w:type="dxa" w:w="0"/>
      </w:tblCellMar>
      <w:tblStyleColBandSize w:val="1"/>
      <w:tblStyleRowBandSize w:val="1"/>
    </w:tblPr>
  </w:style>
  <w:style w:styleId="PO170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71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  <w:style w:styleId="PO172" w:type="table">
    <w:name w:val="Standard"/>
    <w:basedOn w:val="PO152"/>
    <w:tblPr>
      <w:tblCellMar>
        <w:bottom w:type="dxa" w:w="15"/>
        <w:left w:type="dxa" w:w="15"/>
        <w:right w:type="dxa" w:w="15"/>
        <w:top w:type="dxa" w:w="15"/>
      </w:tblCellMar>
      <w:tblStyleColBandSize w:val="1"/>
      <w:tblStyleRowBandSize w:val="1"/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image1.png"></Relationship><Relationship Id="rId6" Type="http://schemas.openxmlformats.org/officeDocument/2006/relationships/numbering" Target="numbering.xml"></Relationship><Relationship Id="rId7" Type="http://schemas.openxmlformats.org/officeDocument/2006/relationships/theme" Target="theme/theme1.xml"></Relationship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WebOffice</Application>
  <AppVersion>12.000</AppVersion>
  <Characters>0</Characters>
  <CharactersWithSpaces>0</CharactersWithSpaces>
  <DocSecurity>0</DocSecurity>
  <HyperlinksChanged>false</HyperlinksChanged>
  <Lines>0</Lines>
  <LinksUpToDate>false</LinksUpToDate>
  <Pages>9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</cp:coreProperties>
</file>