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6BA" w:rsidRDefault="00AD66BA" w:rsidP="00AD66BA">
      <w:pPr>
        <w:rPr>
          <w:rFonts w:ascii="Times New Roman" w:hAnsi="Times New Roman" w:cs="Times New Roman"/>
        </w:rPr>
      </w:pPr>
      <w:r>
        <w:rPr>
          <w:rFonts w:ascii="Times New Roman" w:hAnsi="Times New Roman" w:cs="Times New Roman"/>
        </w:rPr>
        <w:t>– in these contexts, the capacity for the pharmacologically active metabolite Albendazole Sulfoxide to cross the blood-brain barrier and into the cerebral spinal fluid is thought to contribute to the high efficacy of the drug against these parasites</w:t>
      </w:r>
      <w:r>
        <w:rPr>
          <w:rFonts w:ascii="Times New Roman" w:hAnsi="Times New Roman" w:cs="Times New Roman"/>
        </w:rPr>
        <w:fldChar w:fldCharType="begin" w:fldLock="1"/>
      </w:r>
      <w:r>
        <w:rPr>
          <w:rFonts w:ascii="Times New Roman" w:hAnsi="Times New Roman" w:cs="Times New Roman"/>
        </w:rPr>
        <w:instrText>ADDIN CSL_CITATION {"citationItems":[{"id":"ITEM-1","itemData":{"DOI":"10.2165/00003088-199834060-00006","ISSN":"0312-5963","abstract":"Neurocysticercosis is the most important parasitic infection of the\nnervous system. It is common in communities living in conditions with\npoor hygiene. Until the last 2 decades, there was no specific\npharmacological treatment: surgery and corticosteroids were the only\nmedical alternatives, The recent introduction of anticysticercal drugs,\nan isoquinoline (praziquantel) and a benzimidazole (albendazole), has\ndramatically changed the medical management of neurocysticercosis.\nPraziquantel is taken orally and undergoes extensive first pass hepatic\nbiotransformation. Peak concentration in serum is reached after 1 to 2\nhours and the elimination half-life is between 1 and 3 hours.\nPraziquantel permeates the blood-brain barrier, thus explaining its\neffectiveness on parenchymal brain cysticercosis. Plasma concentrations\nof the drug are increased when a high carbohydrate diet is administered.\nCimetidine also increases the plasma concentration of praziquantel by\ninhibition of cytochrome P450. Bioavailability of the drug is markedly\nreduced when given jointly with antiepileptics or corticosteroids,\nspecially carbamazepine, phenytoin or dexamethasone. The current\nschedule for neurocysticercosis treatment lasts 2 weeks at daily doses\nof 50 mg/kg. Recently, a new therapeutic scheme has been proposed that\nconsiders the pharmacokinetics of the drug. This regime lasts only 1 day\nand includes 3 dosages of 25 mg/kg at 2-hour intervals. This increases\nthe time that the parasite is exposed to high drug concentrations. This\ntherapeutic scheme has produced similar results to longer schemes, with\nthe additional advantages of cost, length of usual treatments and\nreduction in total dose received (being one-tenth of the total dosage).\nAlbendazole is considered by many as the drug of choice for treatment of\nneurocysticercosis. It is given orally and is rapidly and extensively\nmetabolised to albendazole sulfoxide (ALBSO), which is considered to be\nthe metabolite directly or indirectly responsible for both toxicity and\nefficacy outside the gastrointestinal tract. Concentrations of ALBSO are\nhighly variable between individuals and it has a half-life of between 6\nand 15 hours. It also crosses the blood-brain barrier. In patients with\nextrahepatic obstruction, the elimination process is prolonged and\nplasma concentration is increased. Fatty meals improve absorption.\nConcomitant administration of albendazole with dexamethasone or with\npraziquantel increases plasma concentration of ALBSO.…","author":[{"dropping-particle":"","family":"Sotelo","given":"J","non-dropping-particle":"","parse-names":false,"suffix":""},{"dropping-particle":"","family":"Jung","given":"H","non-dropping-particle":"","parse-names":false,"suffix":""}],"container-title":"CLINICAL PHARMACOKINETICS","id":"ITEM-1","issue":"6","issued":{"date-parts":[["1998","6"]]},"page":"503-515","publisher":"ADIS INT LTD","publisher-place":"5 THE WAREHOUSE WAY, NORTHCOTE 0627, AUCKLAND, NEW ZEALAND","title":"Pharmacokinetic optimisation of the treatment of neurocysticercosis","type":"article-journal","volume":"34"},"uris":["http://www.mendeley.com/documents/?uuid=1936d0f3-b403-414e-9f5c-421a374d0ce9"]}],"mendeley":{"formattedCitation":"&lt;sup&gt;17&lt;/sup&gt;","plainTextFormattedCitation":"17","previouslyFormattedCitation":"&lt;sup&gt;16&lt;/sup&gt;"},"properties":{"noteIndex":0},"schema":"https://github.com/citation-style-language/schema/raw/master/csl-citation.json"}</w:instrText>
      </w:r>
      <w:r>
        <w:rPr>
          <w:rFonts w:ascii="Times New Roman" w:hAnsi="Times New Roman" w:cs="Times New Roman"/>
        </w:rPr>
        <w:fldChar w:fldCharType="separate"/>
      </w:r>
      <w:r w:rsidRPr="00DB592A">
        <w:rPr>
          <w:rFonts w:ascii="Times New Roman" w:hAnsi="Times New Roman" w:cs="Times New Roman"/>
          <w:noProof/>
          <w:vertAlign w:val="superscript"/>
        </w:rPr>
        <w:t>17</w:t>
      </w:r>
      <w:r>
        <w:rPr>
          <w:rFonts w:ascii="Times New Roman" w:hAnsi="Times New Roman" w:cs="Times New Roman"/>
        </w:rPr>
        <w:fldChar w:fldCharType="end"/>
      </w:r>
      <w:r>
        <w:rPr>
          <w:rFonts w:ascii="Times New Roman" w:hAnsi="Times New Roman" w:cs="Times New Roman"/>
        </w:rPr>
        <w:t>.</w:t>
      </w:r>
    </w:p>
    <w:p w:rsidR="00AD66BA" w:rsidRPr="004D4195" w:rsidRDefault="00AD66BA" w:rsidP="00AD66BA">
      <w:pPr>
        <w:pStyle w:val="ListParagraph"/>
        <w:numPr>
          <w:ilvl w:val="0"/>
          <w:numId w:val="1"/>
        </w:numPr>
        <w:rPr>
          <w:rFonts w:ascii="Times New Roman" w:hAnsi="Times New Roman" w:cs="Times New Roman"/>
        </w:rPr>
      </w:pPr>
      <w:r w:rsidRPr="004D4195">
        <w:rPr>
          <w:rFonts w:ascii="Times New Roman" w:hAnsi="Times New Roman" w:cs="Times New Roman"/>
        </w:rPr>
        <w:t xml:space="preserve">Albendazole a widely used medication for treatment of a variety of parasitic worm infections. </w:t>
      </w:r>
    </w:p>
    <w:p w:rsidR="00AD66BA" w:rsidRPr="004D4195" w:rsidRDefault="00AD66BA" w:rsidP="00AD66BA">
      <w:pPr>
        <w:pStyle w:val="ListParagraph"/>
        <w:numPr>
          <w:ilvl w:val="0"/>
          <w:numId w:val="1"/>
        </w:numPr>
        <w:rPr>
          <w:rFonts w:ascii="Times New Roman" w:hAnsi="Times New Roman" w:cs="Times New Roman"/>
        </w:rPr>
      </w:pPr>
      <w:r w:rsidRPr="004D4195">
        <w:rPr>
          <w:rFonts w:ascii="Times New Roman" w:hAnsi="Times New Roman" w:cs="Times New Roman"/>
        </w:rPr>
        <w:t xml:space="preserve">Historically usage has primarily been in a clinical context where multiple-dose regimen are used to treat infections with parasites such as </w:t>
      </w:r>
      <w:proofErr w:type="spellStart"/>
      <w:proofErr w:type="gramStart"/>
      <w:r w:rsidRPr="004D4195">
        <w:rPr>
          <w:rFonts w:ascii="Times New Roman" w:hAnsi="Times New Roman" w:cs="Times New Roman"/>
          <w:i/>
        </w:rPr>
        <w:t>E.granulosus</w:t>
      </w:r>
      <w:proofErr w:type="spellEnd"/>
      <w:proofErr w:type="gramEnd"/>
      <w:r w:rsidRPr="004D4195">
        <w:rPr>
          <w:rFonts w:ascii="Times New Roman" w:hAnsi="Times New Roman" w:cs="Times New Roman"/>
        </w:rPr>
        <w:t xml:space="preserve"> etc.</w:t>
      </w:r>
    </w:p>
    <w:p w:rsidR="00AD66BA" w:rsidRDefault="00AD66BA" w:rsidP="00AD66BA">
      <w:pPr>
        <w:pStyle w:val="ListParagraph"/>
        <w:numPr>
          <w:ilvl w:val="0"/>
          <w:numId w:val="1"/>
        </w:numPr>
        <w:rPr>
          <w:rFonts w:ascii="Times New Roman" w:hAnsi="Times New Roman" w:cs="Times New Roman"/>
        </w:rPr>
      </w:pPr>
      <w:r w:rsidRPr="004D4195">
        <w:rPr>
          <w:rFonts w:ascii="Times New Roman" w:hAnsi="Times New Roman" w:cs="Times New Roman"/>
        </w:rPr>
        <w:t xml:space="preserve">Has also found use in programmatic contexts where a single dose is given: this includes programmes treating lymphatic filariasis, and more recently those in contexts where </w:t>
      </w:r>
      <w:proofErr w:type="spellStart"/>
      <w:r w:rsidRPr="004D4195">
        <w:rPr>
          <w:rFonts w:ascii="Times New Roman" w:hAnsi="Times New Roman" w:cs="Times New Roman"/>
        </w:rPr>
        <w:t>loiasis</w:t>
      </w:r>
      <w:proofErr w:type="spellEnd"/>
      <w:r w:rsidRPr="004D4195">
        <w:rPr>
          <w:rFonts w:ascii="Times New Roman" w:hAnsi="Times New Roman" w:cs="Times New Roman"/>
        </w:rPr>
        <w:t xml:space="preserve"> is endemic, precluding use of other anti-</w:t>
      </w:r>
      <w:proofErr w:type="spellStart"/>
      <w:r w:rsidRPr="004D4195">
        <w:rPr>
          <w:rFonts w:ascii="Times New Roman" w:hAnsi="Times New Roman" w:cs="Times New Roman"/>
        </w:rPr>
        <w:t>helmintics</w:t>
      </w:r>
      <w:proofErr w:type="spellEnd"/>
      <w:r w:rsidRPr="004D4195">
        <w:rPr>
          <w:rFonts w:ascii="Times New Roman" w:hAnsi="Times New Roman" w:cs="Times New Roman"/>
        </w:rPr>
        <w:t xml:space="preserve"> such as ivermectin and necessitating innovation of current programmatic drug delivery strategies (Test-and-Not-Treat).</w:t>
      </w:r>
    </w:p>
    <w:p w:rsidR="00AD66BA" w:rsidRPr="004D4195" w:rsidRDefault="00AD66BA" w:rsidP="00AD66BA">
      <w:pPr>
        <w:pStyle w:val="ListParagraph"/>
        <w:numPr>
          <w:ilvl w:val="0"/>
          <w:numId w:val="1"/>
        </w:numPr>
        <w:rPr>
          <w:rFonts w:ascii="Times New Roman" w:hAnsi="Times New Roman" w:cs="Times New Roman"/>
          <w:b/>
        </w:rPr>
      </w:pPr>
      <w:r w:rsidRPr="004D4195">
        <w:rPr>
          <w:rFonts w:ascii="Times New Roman" w:hAnsi="Times New Roman" w:cs="Times New Roman"/>
        </w:rPr>
        <w:t>Substantial uncertainty still surrounds the usage of Albendazole and its usage in anti-</w:t>
      </w:r>
      <w:proofErr w:type="spellStart"/>
      <w:r w:rsidRPr="004D4195">
        <w:rPr>
          <w:rFonts w:ascii="Times New Roman" w:hAnsi="Times New Roman" w:cs="Times New Roman"/>
        </w:rPr>
        <w:t>helmintic</w:t>
      </w:r>
      <w:proofErr w:type="spellEnd"/>
      <w:r w:rsidRPr="004D4195">
        <w:rPr>
          <w:rFonts w:ascii="Times New Roman" w:hAnsi="Times New Roman" w:cs="Times New Roman"/>
        </w:rPr>
        <w:t xml:space="preserve"> treatment. Whilst efficacy has been established for numerous infections, its impact on some of the most public health relevant parasites remains unclear (onchocerciasis, </w:t>
      </w:r>
      <w:proofErr w:type="spellStart"/>
      <w:r w:rsidRPr="004D4195">
        <w:rPr>
          <w:rFonts w:ascii="Times New Roman" w:hAnsi="Times New Roman" w:cs="Times New Roman"/>
        </w:rPr>
        <w:t>loiasis</w:t>
      </w:r>
      <w:proofErr w:type="spellEnd"/>
      <w:r w:rsidRPr="004D4195">
        <w:rPr>
          <w:rFonts w:ascii="Times New Roman" w:hAnsi="Times New Roman" w:cs="Times New Roman"/>
        </w:rPr>
        <w:t xml:space="preserve"> etc). Perhaps of even greater relevance, it is well established that Albendazole pharmacokinetics display substantial inter (and even intra) individual variability, with profiles of the concentration of the drug’s bioactive metabolite (Albendazole Sulfoxide) in the blood displaying substantial variation in individuals receiving the same dose.</w:t>
      </w:r>
    </w:p>
    <w:p w:rsidR="00AD66BA" w:rsidRPr="00DB592A" w:rsidRDefault="00AD66BA" w:rsidP="00AD66BA">
      <w:pPr>
        <w:pStyle w:val="ListParagraph"/>
        <w:numPr>
          <w:ilvl w:val="0"/>
          <w:numId w:val="1"/>
        </w:numPr>
        <w:rPr>
          <w:rFonts w:ascii="Times New Roman" w:hAnsi="Times New Roman" w:cs="Times New Roman"/>
          <w:b/>
        </w:rPr>
      </w:pPr>
      <w:r w:rsidRPr="004D4195">
        <w:rPr>
          <w:rFonts w:ascii="Times New Roman" w:hAnsi="Times New Roman" w:cs="Times New Roman"/>
        </w:rPr>
        <w:t>Whilst numerous reasons for this have been posited in the literature (including pH of the gut and its impact on bioavailability, sex and age-based differences, infection itself), many studies have focussed on only one driver (if at all) and so a systematic understanding of the exact determinants and their comparative impact remains outstanding. A better understanding is important given Albendazole’s ubiquitous usage around the world as an anti-</w:t>
      </w:r>
      <w:proofErr w:type="spellStart"/>
      <w:proofErr w:type="gramStart"/>
      <w:r w:rsidRPr="004D4195">
        <w:rPr>
          <w:rFonts w:ascii="Times New Roman" w:hAnsi="Times New Roman" w:cs="Times New Roman"/>
        </w:rPr>
        <w:t>helmintic</w:t>
      </w:r>
      <w:proofErr w:type="spellEnd"/>
      <w:r w:rsidRPr="004D4195">
        <w:rPr>
          <w:rFonts w:ascii="Times New Roman" w:hAnsi="Times New Roman" w:cs="Times New Roman"/>
        </w:rPr>
        <w:t>, and</w:t>
      </w:r>
      <w:proofErr w:type="gramEnd"/>
      <w:r w:rsidRPr="004D4195">
        <w:rPr>
          <w:rFonts w:ascii="Times New Roman" w:hAnsi="Times New Roman" w:cs="Times New Roman"/>
        </w:rPr>
        <w:t xml:space="preserve"> may facilitate dosage regimen that are optimised to the characteristics of the patients being treated. </w:t>
      </w:r>
    </w:p>
    <w:p w:rsidR="00AD66BA" w:rsidRPr="00E76F43" w:rsidRDefault="00AD66BA" w:rsidP="00AD66BA">
      <w:pPr>
        <w:pStyle w:val="ListParagraph"/>
        <w:numPr>
          <w:ilvl w:val="0"/>
          <w:numId w:val="1"/>
        </w:numPr>
        <w:rPr>
          <w:rFonts w:ascii="Times New Roman" w:hAnsi="Times New Roman" w:cs="Times New Roman"/>
          <w:b/>
        </w:rPr>
      </w:pPr>
      <w:r w:rsidRPr="004D4195">
        <w:rPr>
          <w:rFonts w:ascii="Times New Roman" w:hAnsi="Times New Roman" w:cs="Times New Roman"/>
        </w:rPr>
        <w:t xml:space="preserve">Motivated by this, we carried out a systematic review of literature in order to identify references containing temporally disaggregated data of Albendazole Sulfoxide (and Albendazole) concentrations in the blood following treatment. We construct a mathematical model of Albendazole pharmacokinetics that captures key phenomena associated with the drug’s metabolism, including extensive hepatic first-pass metabolism and its typically low bioavailability, amongst others. We fit this model to data collected during the systematic review and use these results to relate key pharmacokinetic properties (drug half-life, AUC, </w:t>
      </w:r>
      <w:proofErr w:type="spellStart"/>
      <w:r w:rsidRPr="004D4195">
        <w:rPr>
          <w:rFonts w:ascii="Times New Roman" w:hAnsi="Times New Roman" w:cs="Times New Roman"/>
        </w:rPr>
        <w:t>C</w:t>
      </w:r>
      <w:r w:rsidRPr="004D4195">
        <w:rPr>
          <w:rFonts w:ascii="Times New Roman" w:hAnsi="Times New Roman" w:cs="Times New Roman"/>
          <w:vertAlign w:val="subscript"/>
        </w:rPr>
        <w:t>Max</w:t>
      </w:r>
      <w:proofErr w:type="spellEnd"/>
      <w:r w:rsidRPr="004D4195">
        <w:rPr>
          <w:rFonts w:ascii="Times New Roman" w:hAnsi="Times New Roman" w:cs="Times New Roman"/>
          <w:vertAlign w:val="subscript"/>
        </w:rPr>
        <w:softHyphen/>
        <w:t xml:space="preserve"> </w:t>
      </w:r>
      <w:r w:rsidRPr="004D4195">
        <w:rPr>
          <w:rFonts w:ascii="Times New Roman" w:hAnsi="Times New Roman" w:cs="Times New Roman"/>
        </w:rPr>
        <w:softHyphen/>
        <w:t xml:space="preserve">etc) to characteristics of the patients being treated. In doing so, we provide new insight into the drivers of variation in Albendazole pharmacokinetics and </w:t>
      </w:r>
    </w:p>
    <w:p w:rsidR="00AD66BA" w:rsidRPr="00682608" w:rsidRDefault="00AD66BA" w:rsidP="00AD66BA">
      <w:pPr>
        <w:rPr>
          <w:rFonts w:ascii="Times New Roman" w:hAnsi="Times New Roman" w:cs="Times New Roman"/>
        </w:rPr>
      </w:pPr>
      <w:r w:rsidRPr="00682608">
        <w:rPr>
          <w:rFonts w:ascii="Times New Roman" w:hAnsi="Times New Roman" w:cs="Times New Roman"/>
        </w:rPr>
        <w:t xml:space="preserve"> </w:t>
      </w:r>
    </w:p>
    <w:p w:rsidR="00AB7C58" w:rsidRDefault="00AB7C58"/>
    <w:p w:rsidR="004D66FC" w:rsidRDefault="004D66FC" w:rsidP="004D66FC">
      <w:pPr>
        <w:pStyle w:val="ListParagraph"/>
        <w:numPr>
          <w:ilvl w:val="0"/>
          <w:numId w:val="1"/>
        </w:numPr>
        <w:rPr>
          <w:rFonts w:ascii="Times New Roman" w:hAnsi="Times New Roman" w:cs="Times New Roman"/>
        </w:rPr>
      </w:pPr>
      <w:r w:rsidRPr="004D4195">
        <w:rPr>
          <w:rFonts w:ascii="Times New Roman" w:hAnsi="Times New Roman" w:cs="Times New Roman"/>
        </w:rPr>
        <w:t xml:space="preserve">Despite widespread usage, much uncertainty surrounds the pharmacokinetics of Albendazole treatment, </w:t>
      </w:r>
      <w:proofErr w:type="gramStart"/>
      <w:r w:rsidRPr="004D4195">
        <w:rPr>
          <w:rFonts w:ascii="Times New Roman" w:hAnsi="Times New Roman" w:cs="Times New Roman"/>
        </w:rPr>
        <w:t>in particular the</w:t>
      </w:r>
      <w:proofErr w:type="gramEnd"/>
      <w:r w:rsidRPr="004D4195">
        <w:rPr>
          <w:rFonts w:ascii="Times New Roman" w:hAnsi="Times New Roman" w:cs="Times New Roman"/>
        </w:rPr>
        <w:t xml:space="preserve"> drivers of the extensive inter-individual variation observed in individuals receiving treatment. Previous studies have explored individual factors contributing to this </w:t>
      </w:r>
      <w:proofErr w:type="gramStart"/>
      <w:r w:rsidRPr="004D4195">
        <w:rPr>
          <w:rFonts w:ascii="Times New Roman" w:hAnsi="Times New Roman" w:cs="Times New Roman"/>
        </w:rPr>
        <w:t>variation</w:t>
      </w:r>
      <w:proofErr w:type="gramEnd"/>
      <w:r w:rsidRPr="004D4195">
        <w:rPr>
          <w:rFonts w:ascii="Times New Roman" w:hAnsi="Times New Roman" w:cs="Times New Roman"/>
        </w:rPr>
        <w:t xml:space="preserve"> but a systematic consideration remained outstanding: this is despite the utility such an understanding would have in enabling treatment to be better tailored to patient characteristics. </w:t>
      </w:r>
    </w:p>
    <w:p w:rsidR="006C5D04" w:rsidRPr="004D4195" w:rsidRDefault="006C5D04" w:rsidP="006C5D04">
      <w:pPr>
        <w:pStyle w:val="ListParagraph"/>
        <w:numPr>
          <w:ilvl w:val="0"/>
          <w:numId w:val="1"/>
        </w:numPr>
        <w:rPr>
          <w:rFonts w:ascii="Times New Roman" w:hAnsi="Times New Roman" w:cs="Times New Roman"/>
        </w:rPr>
      </w:pPr>
      <w:r w:rsidRPr="004D4195">
        <w:rPr>
          <w:rFonts w:ascii="Times New Roman" w:hAnsi="Times New Roman" w:cs="Times New Roman"/>
        </w:rPr>
        <w:t xml:space="preserve">Utilising a systematic review and mathematical modelling approach, we explore some of the drivers of this variation, providing insight into their magnitude and effect. Our results reveal the pronounced impact of some of these variables on key pharmacokinetic parameters. Intriguingly, our results indicate that different factors differentially impact different pharmacokinetic properties of Albendazole -more detail here-. </w:t>
      </w:r>
    </w:p>
    <w:p w:rsidR="006C5D04" w:rsidRDefault="006C5D04" w:rsidP="00B73EE9">
      <w:pPr>
        <w:rPr>
          <w:rFonts w:ascii="Times New Roman" w:hAnsi="Times New Roman" w:cs="Times New Roman"/>
        </w:rPr>
      </w:pPr>
    </w:p>
    <w:p w:rsidR="00B73EE9" w:rsidRDefault="00B73EE9" w:rsidP="00B73EE9">
      <w:pPr>
        <w:pStyle w:val="ListParagraph"/>
        <w:numPr>
          <w:ilvl w:val="0"/>
          <w:numId w:val="1"/>
        </w:numPr>
        <w:rPr>
          <w:rFonts w:ascii="Times New Roman" w:hAnsi="Times New Roman" w:cs="Times New Roman"/>
        </w:rPr>
      </w:pPr>
      <w:r w:rsidRPr="004D4195">
        <w:rPr>
          <w:rFonts w:ascii="Times New Roman" w:hAnsi="Times New Roman" w:cs="Times New Roman"/>
        </w:rPr>
        <w:lastRenderedPageBreak/>
        <w:t xml:space="preserve">Additionally, results considered here were restricted to single doses of Albendazole. Whilst this is programmatically the most relevant feature to be considering, use of Albendazole in dedicated medical settings for diseases such as infection with </w:t>
      </w:r>
      <w:proofErr w:type="spellStart"/>
      <w:proofErr w:type="gramStart"/>
      <w:r w:rsidRPr="004D4195">
        <w:rPr>
          <w:rFonts w:ascii="Times New Roman" w:hAnsi="Times New Roman" w:cs="Times New Roman"/>
          <w:i/>
        </w:rPr>
        <w:t>E.granulosus</w:t>
      </w:r>
      <w:proofErr w:type="spellEnd"/>
      <w:proofErr w:type="gramEnd"/>
      <w:r w:rsidRPr="004D4195">
        <w:rPr>
          <w:rFonts w:ascii="Times New Roman" w:hAnsi="Times New Roman" w:cs="Times New Roman"/>
        </w:rPr>
        <w:t xml:space="preserve"> often utilise treatment regimen consisting of multiple doses delivered over multiple days. Previous results have shown that Albendazole appears to induce its own metabolism, leading to changes in its pharmacokinetic properties over the course of multiple dose regimen. Exploring </w:t>
      </w:r>
      <w:proofErr w:type="gramStart"/>
      <w:r w:rsidRPr="004D4195">
        <w:rPr>
          <w:rFonts w:ascii="Times New Roman" w:hAnsi="Times New Roman" w:cs="Times New Roman"/>
        </w:rPr>
        <w:t>this phenomena</w:t>
      </w:r>
      <w:proofErr w:type="gramEnd"/>
      <w:r w:rsidRPr="004D4195">
        <w:rPr>
          <w:rFonts w:ascii="Times New Roman" w:hAnsi="Times New Roman" w:cs="Times New Roman"/>
        </w:rPr>
        <w:t xml:space="preserve"> and its consequence for anti-</w:t>
      </w:r>
      <w:proofErr w:type="spellStart"/>
      <w:r w:rsidRPr="004D4195">
        <w:rPr>
          <w:rFonts w:ascii="Times New Roman" w:hAnsi="Times New Roman" w:cs="Times New Roman"/>
        </w:rPr>
        <w:t>helmintic</w:t>
      </w:r>
      <w:proofErr w:type="spellEnd"/>
      <w:r w:rsidRPr="004D4195">
        <w:rPr>
          <w:rFonts w:ascii="Times New Roman" w:hAnsi="Times New Roman" w:cs="Times New Roman"/>
        </w:rPr>
        <w:t xml:space="preserve"> treatment would require extension of the mathematical model developed here, and likely represents an instructive avenue of future work. </w:t>
      </w:r>
    </w:p>
    <w:p w:rsidR="0082599A" w:rsidRPr="0082599A" w:rsidRDefault="0082599A" w:rsidP="0082599A">
      <w:pPr>
        <w:pStyle w:val="ListParagraph"/>
        <w:rPr>
          <w:rFonts w:ascii="Times New Roman" w:hAnsi="Times New Roman" w:cs="Times New Roman"/>
        </w:rPr>
      </w:pPr>
    </w:p>
    <w:p w:rsidR="0082599A" w:rsidRPr="004D4195" w:rsidRDefault="0082599A" w:rsidP="0082599A">
      <w:pPr>
        <w:pStyle w:val="ListParagraph"/>
        <w:numPr>
          <w:ilvl w:val="0"/>
          <w:numId w:val="1"/>
        </w:numPr>
        <w:rPr>
          <w:rFonts w:ascii="Times New Roman" w:hAnsi="Times New Roman" w:cs="Times New Roman"/>
        </w:rPr>
      </w:pPr>
      <w:r w:rsidRPr="004D4195">
        <w:rPr>
          <w:rFonts w:ascii="Times New Roman" w:hAnsi="Times New Roman" w:cs="Times New Roman"/>
        </w:rPr>
        <w:t xml:space="preserve">There are however, </w:t>
      </w:r>
      <w:proofErr w:type="gramStart"/>
      <w:r w:rsidRPr="004D4195">
        <w:rPr>
          <w:rFonts w:ascii="Times New Roman" w:hAnsi="Times New Roman" w:cs="Times New Roman"/>
        </w:rPr>
        <w:t>a number of</w:t>
      </w:r>
      <w:proofErr w:type="gramEnd"/>
      <w:r w:rsidRPr="004D4195">
        <w:rPr>
          <w:rFonts w:ascii="Times New Roman" w:hAnsi="Times New Roman" w:cs="Times New Roman"/>
        </w:rPr>
        <w:t xml:space="preserve"> limitations to our analyses. Firstly, because of constraints pertaining to the data available in the literature, we were unable to work with individual patient data, instead having to work with aggregated population level data from many of the references. This limits our capacity to infer individual drivers of variability although doesn’t necessarily preclude our capacity to analyse specific factors (e.g. Sex) where these are known for the entire group. Secondly, data constraints also prevented us examining all the possible factors influencing Albendazole pharmacokinetics – a notable one would be age, with studies having shown the likely existence of age-related differences in Albendazole pharmacokinetics. Irrespective of these constraints however, these analyses allowed us to systematically review many other important factors (Sex, Dose, Infection Status, Other Drugs and Infection Status). </w:t>
      </w:r>
    </w:p>
    <w:p w:rsidR="0082599A" w:rsidRDefault="0082599A" w:rsidP="0082599A">
      <w:pPr>
        <w:pStyle w:val="ListParagraph"/>
        <w:numPr>
          <w:ilvl w:val="1"/>
          <w:numId w:val="1"/>
        </w:numPr>
        <w:rPr>
          <w:rFonts w:ascii="Times New Roman" w:hAnsi="Times New Roman" w:cs="Times New Roman"/>
        </w:rPr>
      </w:pPr>
      <w:r w:rsidRPr="004D4195">
        <w:rPr>
          <w:rFonts w:ascii="Times New Roman" w:hAnsi="Times New Roman" w:cs="Times New Roman"/>
        </w:rPr>
        <w:t xml:space="preserve">Note, consider going back through all the papers and get the mean age data; in which case replace that section with another example of a variable we haven’t been able to assess. </w:t>
      </w:r>
    </w:p>
    <w:p w:rsidR="0082599A" w:rsidRDefault="0082599A" w:rsidP="00B73EE9">
      <w:pPr>
        <w:pStyle w:val="ListParagraph"/>
        <w:numPr>
          <w:ilvl w:val="0"/>
          <w:numId w:val="1"/>
        </w:numPr>
        <w:rPr>
          <w:rFonts w:ascii="Times New Roman" w:hAnsi="Times New Roman" w:cs="Times New Roman"/>
        </w:rPr>
      </w:pPr>
      <w:bookmarkStart w:id="0" w:name="_GoBack"/>
      <w:bookmarkEnd w:id="0"/>
    </w:p>
    <w:p w:rsidR="00B73EE9" w:rsidRPr="00B73EE9" w:rsidRDefault="00B73EE9" w:rsidP="00B73EE9">
      <w:pPr>
        <w:pStyle w:val="ListParagraph"/>
        <w:rPr>
          <w:rFonts w:ascii="Times New Roman" w:hAnsi="Times New Roman" w:cs="Times New Roman"/>
        </w:rPr>
      </w:pPr>
    </w:p>
    <w:p w:rsidR="00B73EE9" w:rsidRPr="004D4195" w:rsidRDefault="00B73EE9" w:rsidP="00B73EE9">
      <w:pPr>
        <w:pStyle w:val="ListParagraph"/>
        <w:numPr>
          <w:ilvl w:val="0"/>
          <w:numId w:val="1"/>
        </w:numPr>
        <w:rPr>
          <w:rFonts w:ascii="Times New Roman" w:hAnsi="Times New Roman" w:cs="Times New Roman"/>
        </w:rPr>
      </w:pPr>
      <w:r>
        <w:rPr>
          <w:rFonts w:ascii="Times New Roman" w:hAnsi="Times New Roman" w:cs="Times New Roman"/>
        </w:rPr>
        <w:t xml:space="preserve">Also, number of other phenomena not considered here that could be instructive to model – double peak sometimes observed with Albendazole, possible incorporation of a peripheral compartment to reflect the biphasic nature of clearance again, sometimes, rarely observed etc. </w:t>
      </w:r>
    </w:p>
    <w:p w:rsidR="003742D9" w:rsidRPr="004D4195" w:rsidRDefault="003742D9" w:rsidP="003742D9">
      <w:pPr>
        <w:pStyle w:val="ListParagraph"/>
        <w:numPr>
          <w:ilvl w:val="0"/>
          <w:numId w:val="1"/>
        </w:numPr>
        <w:rPr>
          <w:rFonts w:ascii="Times New Roman" w:hAnsi="Times New Roman" w:cs="Times New Roman"/>
        </w:rPr>
      </w:pPr>
      <w:r w:rsidRPr="004D4195">
        <w:rPr>
          <w:rFonts w:ascii="Times New Roman" w:hAnsi="Times New Roman" w:cs="Times New Roman"/>
        </w:rPr>
        <w:t xml:space="preserve">Overall however, and despite these limitations, our work provides insight into the factors governing the variation in Albendazole’s pharmacokinetic variation. More broadly, it provides a framework to optimise treatment regimen based on patient characteristics. Given recent results surrounding the use of Albendazole in innovative programmatic settings (Test-and-Not-Treat), this will likely hold relevance for programmatic settings. </w:t>
      </w:r>
    </w:p>
    <w:p w:rsidR="00B73EE9" w:rsidRPr="004D4195" w:rsidRDefault="00B73EE9" w:rsidP="00B73EE9">
      <w:pPr>
        <w:pStyle w:val="ListParagraph"/>
        <w:numPr>
          <w:ilvl w:val="0"/>
          <w:numId w:val="1"/>
        </w:numPr>
        <w:rPr>
          <w:rFonts w:ascii="Times New Roman" w:hAnsi="Times New Roman" w:cs="Times New Roman"/>
        </w:rPr>
      </w:pPr>
    </w:p>
    <w:p w:rsidR="00B73EE9" w:rsidRPr="00B73EE9" w:rsidRDefault="00B73EE9" w:rsidP="00B73EE9">
      <w:pPr>
        <w:rPr>
          <w:rFonts w:ascii="Times New Roman" w:hAnsi="Times New Roman" w:cs="Times New Roman"/>
        </w:rPr>
      </w:pPr>
    </w:p>
    <w:p w:rsidR="004D66FC" w:rsidRDefault="004D66FC"/>
    <w:sectPr w:rsidR="004D6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C6"/>
    <w:rsid w:val="003742D9"/>
    <w:rsid w:val="004D66FC"/>
    <w:rsid w:val="006C5D04"/>
    <w:rsid w:val="0082599A"/>
    <w:rsid w:val="00AB7C58"/>
    <w:rsid w:val="00AD66BA"/>
    <w:rsid w:val="00B73EE9"/>
    <w:rsid w:val="00E72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9A65"/>
  <w15:chartTrackingRefBased/>
  <w15:docId w15:val="{61C98973-7946-46AB-8654-49996163F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6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Charlie Wright</cp:lastModifiedBy>
  <cp:revision>7</cp:revision>
  <dcterms:created xsi:type="dcterms:W3CDTF">2019-12-26T17:03:00Z</dcterms:created>
  <dcterms:modified xsi:type="dcterms:W3CDTF">2019-12-26T18:36:00Z</dcterms:modified>
</cp:coreProperties>
</file>