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Preparing</w:t>
      </w:r>
      <w:r>
        <w:t xml:space="preserve"> </w:t>
      </w:r>
      <w:r>
        <w:t xml:space="preserve">your</w:t>
      </w:r>
      <w:r>
        <w:t xml:space="preserve"> </w:t>
      </w:r>
      <w:r>
        <w:t xml:space="preserve">manuscript</w:t>
      </w:r>
    </w:p>
    <w:p>
      <w:pPr>
        <w:pStyle w:val="Author"/>
      </w:pPr>
      <w:r>
        <w:t xml:space="preserve">Charlotte</w:t>
      </w:r>
      <w:r>
        <w:t xml:space="preserve"> </w:t>
      </w:r>
      <w:r>
        <w:t xml:space="preserve">Wickham</w:t>
      </w:r>
    </w:p>
    <w:p>
      <w:pPr>
        <w:pStyle w:val="Author"/>
      </w:pPr>
      <w:r>
        <w:t xml:space="preserve">Charles</w:t>
      </w:r>
      <w:r>
        <w:t xml:space="preserve"> </w:t>
      </w:r>
      <w:r>
        <w:t xml:space="preserve">Teague</w:t>
      </w:r>
    </w:p>
    <w:p>
      <w:pPr>
        <w:pStyle w:val="Date"/>
      </w:pPr>
      <w:r>
        <w:t xml:space="preserve">2023-05-16</w:t>
      </w:r>
    </w:p>
    <w:p>
      <w:pPr>
        <w:pStyle w:val="AbstractTitle"/>
      </w:pPr>
      <w:r>
        <w:t xml:space="preserve">Abstract</w:t>
      </w:r>
    </w:p>
    <w:p>
      <w:pPr>
        <w:pStyle w:val="Abstract"/>
      </w:pPr>
      <w:r>
        <w:t xml:space="preserve">The</w:t>
      </w:r>
      <w:r>
        <w:t xml:space="preserve"> </w:t>
      </w:r>
      <w:r>
        <w:t xml:space="preserve">abstract</w:t>
      </w:r>
      <w:r>
        <w:t xml:space="preserve"> </w:t>
      </w:r>
      <w:r>
        <w:t xml:space="preserve">(1)</w:t>
      </w:r>
      <w:r>
        <w:t xml:space="preserve"> </w:t>
      </w:r>
      <w:r>
        <w:t xml:space="preserve">states</w:t>
      </w:r>
      <w:r>
        <w:t xml:space="preserve"> </w:t>
      </w:r>
      <w:r>
        <w:t xml:space="preserve">the</w:t>
      </w:r>
      <w:r>
        <w:t xml:space="preserve"> </w:t>
      </w:r>
      <w:r>
        <w:t xml:space="preserve">nature</w:t>
      </w:r>
      <w:r>
        <w:t xml:space="preserve"> </w:t>
      </w:r>
      <w:r>
        <w:t xml:space="preserve">of</w:t>
      </w:r>
      <w:r>
        <w:t xml:space="preserve"> </w:t>
      </w:r>
      <w:r>
        <w:t xml:space="preserve">the</w:t>
      </w:r>
      <w:r>
        <w:t xml:space="preserve"> </w:t>
      </w:r>
      <w:r>
        <w:t xml:space="preserve">investigation</w:t>
      </w:r>
      <w:r>
        <w:t xml:space="preserve"> </w:t>
      </w:r>
      <w:r>
        <w:t xml:space="preserve">and</w:t>
      </w:r>
      <w:r>
        <w:t xml:space="preserve"> </w:t>
      </w:r>
      <w:r>
        <w:t xml:space="preserve">(2)</w:t>
      </w:r>
      <w:r>
        <w:t xml:space="preserve"> </w:t>
      </w:r>
      <w:r>
        <w:t xml:space="preserve">summarizes</w:t>
      </w:r>
      <w:r>
        <w:t xml:space="preserve"> </w:t>
      </w:r>
      <w:r>
        <w:t xml:space="preserve">the</w:t>
      </w:r>
      <w:r>
        <w:t xml:space="preserve"> </w:t>
      </w:r>
      <w:r>
        <w:t xml:space="preserve">important</w:t>
      </w:r>
      <w:r>
        <w:t xml:space="preserve"> </w:t>
      </w:r>
      <w:r>
        <w:t xml:space="preserve">conclusions.</w:t>
      </w:r>
      <w:r>
        <w:t xml:space="preserve"> </w:t>
      </w:r>
      <w:r>
        <w:t xml:space="preserve">The</w:t>
      </w:r>
      <w:r>
        <w:t xml:space="preserve"> </w:t>
      </w:r>
      <w:r>
        <w:t xml:space="preserve">abstract</w:t>
      </w:r>
      <w:r>
        <w:t xml:space="preserve"> </w:t>
      </w:r>
      <w:r>
        <w:t xml:space="preserve">should</w:t>
      </w:r>
      <w:r>
        <w:t xml:space="preserve"> </w:t>
      </w:r>
      <w:r>
        <w:t xml:space="preserve">be</w:t>
      </w:r>
      <w:r>
        <w:t xml:space="preserve"> </w:t>
      </w:r>
      <w:r>
        <w:t xml:space="preserve">suitable</w:t>
      </w:r>
      <w:r>
        <w:t xml:space="preserve"> </w:t>
      </w:r>
      <w:r>
        <w:t xml:space="preserve">for</w:t>
      </w:r>
      <w:r>
        <w:t xml:space="preserve"> </w:t>
      </w:r>
      <w:r>
        <w:t xml:space="preserve">indexing.</w:t>
      </w:r>
      <w:r>
        <w:t xml:space="preserve"> </w:t>
      </w:r>
      <w:r>
        <w:t xml:space="preserve">Your</w:t>
      </w:r>
      <w:r>
        <w:t xml:space="preserve"> </w:t>
      </w:r>
      <w:r>
        <w:t xml:space="preserve">abstract</w:t>
      </w:r>
      <w:r>
        <w:t xml:space="preserve"> </w:t>
      </w:r>
      <w:r>
        <w:t xml:space="preserve">should:</w:t>
      </w:r>
    </w:p>
    <w:p>
      <w:pPr>
        <w:numPr>
          <w:ilvl w:val="0"/>
          <w:numId w:val="1001"/>
        </w:numPr>
        <w:pStyle w:val="Compact"/>
      </w:pPr>
      <w:r>
        <w:t xml:space="preserve">Be</w:t>
      </w:r>
      <w:r>
        <w:t xml:space="preserve"> </w:t>
      </w:r>
      <w:r>
        <w:t xml:space="preserve">set</w:t>
      </w:r>
      <w:r>
        <w:t xml:space="preserve"> </w:t>
      </w:r>
      <w:r>
        <w:t xml:space="preserve">as</w:t>
      </w:r>
      <w:r>
        <w:t xml:space="preserve"> </w:t>
      </w:r>
      <w:r>
        <w:t xml:space="preserve">a</w:t>
      </w:r>
      <w:r>
        <w:t xml:space="preserve"> </w:t>
      </w:r>
      <w:r>
        <w:t xml:space="preserve">single</w:t>
      </w:r>
      <w:r>
        <w:t xml:space="preserve"> </w:t>
      </w:r>
      <w:r>
        <w:t xml:space="preserve">paragraph.</w:t>
      </w:r>
    </w:p>
    <w:p>
      <w:pPr>
        <w:numPr>
          <w:ilvl w:val="0"/>
          <w:numId w:val="1001"/>
        </w:numPr>
        <w:pStyle w:val="Compact"/>
      </w:pPr>
      <w:r>
        <w:t xml:space="preserve">Be</w:t>
      </w:r>
      <w:r>
        <w:t xml:space="preserve"> </w:t>
      </w:r>
      <w:r>
        <w:t xml:space="preserve">less</w:t>
      </w:r>
      <w:r>
        <w:t xml:space="preserve"> </w:t>
      </w:r>
      <w:r>
        <w:t xml:space="preserve">than</w:t>
      </w:r>
      <w:r>
        <w:t xml:space="preserve"> </w:t>
      </w:r>
      <w:r>
        <w:t xml:space="preserve">250</w:t>
      </w:r>
      <w:r>
        <w:t xml:space="preserve"> </w:t>
      </w:r>
      <w:r>
        <w:t xml:space="preserve">words</w:t>
      </w:r>
      <w:r>
        <w:t xml:space="preserve"> </w:t>
      </w:r>
      <w:r>
        <w:t xml:space="preserve">for</w:t>
      </w:r>
      <w:r>
        <w:t xml:space="preserve"> </w:t>
      </w:r>
      <w:r>
        <w:t xml:space="preserve">all</w:t>
      </w:r>
      <w:r>
        <w:t xml:space="preserve"> </w:t>
      </w:r>
      <w:r>
        <w:t xml:space="preserve">journals</w:t>
      </w:r>
      <w:r>
        <w:t xml:space="preserve"> </w:t>
      </w:r>
      <w:r>
        <w:t xml:space="preserve">except</w:t>
      </w:r>
      <w:r>
        <w:t xml:space="preserve"> </w:t>
      </w:r>
      <w:r>
        <w:t xml:space="preserve">GRL,</w:t>
      </w:r>
      <w:r>
        <w:t xml:space="preserve"> </w:t>
      </w:r>
      <w:r>
        <w:t xml:space="preserve">for</w:t>
      </w:r>
      <w:r>
        <w:t xml:space="preserve"> </w:t>
      </w:r>
      <w:r>
        <w:t xml:space="preserve">which</w:t>
      </w:r>
      <w:r>
        <w:t xml:space="preserve"> </w:t>
      </w:r>
      <w:r>
        <w:t xml:space="preserve">the</w:t>
      </w:r>
      <w:r>
        <w:t xml:space="preserve"> </w:t>
      </w:r>
      <w:r>
        <w:t xml:space="preserve">limit</w:t>
      </w:r>
      <w:r>
        <w:t xml:space="preserve"> </w:t>
      </w:r>
      <w:r>
        <w:t xml:space="preserve">is</w:t>
      </w:r>
      <w:r>
        <w:t xml:space="preserve"> </w:t>
      </w:r>
      <w:r>
        <w:t xml:space="preserve">150</w:t>
      </w:r>
      <w:r>
        <w:t xml:space="preserve"> </w:t>
      </w:r>
      <w:r>
        <w:t xml:space="preserve">words.</w:t>
      </w:r>
    </w:p>
    <w:p>
      <w:pPr>
        <w:numPr>
          <w:ilvl w:val="0"/>
          <w:numId w:val="1001"/>
        </w:numPr>
        <w:pStyle w:val="Compact"/>
      </w:pPr>
      <w:r>
        <w:t xml:space="preserve">Not</w:t>
      </w:r>
      <w:r>
        <w:t xml:space="preserve"> </w:t>
      </w:r>
      <w:r>
        <w:t xml:space="preserve">include</w:t>
      </w:r>
      <w:r>
        <w:t xml:space="preserve"> </w:t>
      </w:r>
      <w:r>
        <w:t xml:space="preserve">table</w:t>
      </w:r>
      <w:r>
        <w:t xml:space="preserve"> </w:t>
      </w:r>
      <w:r>
        <w:t xml:space="preserve">or</w:t>
      </w:r>
      <w:r>
        <w:t xml:space="preserve"> </w:t>
      </w:r>
      <w:r>
        <w:t xml:space="preserve">figure</w:t>
      </w:r>
      <w:r>
        <w:t xml:space="preserve"> </w:t>
      </w:r>
      <w:r>
        <w:t xml:space="preserve">mentions.</w:t>
      </w:r>
    </w:p>
    <w:p>
      <w:pPr>
        <w:numPr>
          <w:ilvl w:val="0"/>
          <w:numId w:val="1001"/>
        </w:numPr>
        <w:pStyle w:val="Compact"/>
      </w:pPr>
      <w:r>
        <w:t xml:space="preserve">Avoid</w:t>
      </w:r>
      <w:r>
        <w:t xml:space="preserve"> </w:t>
      </w:r>
      <w:r>
        <w:t xml:space="preserve">reference</w:t>
      </w:r>
      <w:r>
        <w:t xml:space="preserve"> </w:t>
      </w:r>
      <w:r>
        <w:t xml:space="preserve">citations</w:t>
      </w:r>
      <w:r>
        <w:t xml:space="preserve"> </w:t>
      </w:r>
      <w:r>
        <w:t xml:space="preserve">unless</w:t>
      </w:r>
      <w:r>
        <w:t xml:space="preserve"> </w:t>
      </w:r>
      <w:r>
        <w:t xml:space="preserve">dependent</w:t>
      </w:r>
      <w:r>
        <w:t xml:space="preserve"> </w:t>
      </w:r>
      <w:r>
        <w:t xml:space="preserve">on</w:t>
      </w:r>
      <w:r>
        <w:t xml:space="preserve"> </w:t>
      </w:r>
      <w:r>
        <w:t xml:space="preserve">or</w:t>
      </w:r>
      <w:r>
        <w:t xml:space="preserve"> </w:t>
      </w:r>
      <w:r>
        <w:t xml:space="preserve">directly</w:t>
      </w:r>
      <w:r>
        <w:t xml:space="preserve"> </w:t>
      </w:r>
      <w:r>
        <w:t xml:space="preserve">related</w:t>
      </w:r>
      <w:r>
        <w:t xml:space="preserve"> </w:t>
      </w:r>
      <w:r>
        <w:t xml:space="preserve">to</w:t>
      </w:r>
      <w:r>
        <w:t xml:space="preserve"> </w:t>
      </w:r>
      <w:r>
        <w:t xml:space="preserve">another</w:t>
      </w:r>
      <w:r>
        <w:t xml:space="preserve"> </w:t>
      </w:r>
      <w:r>
        <w:t xml:space="preserve">paper</w:t>
      </w:r>
      <w:r>
        <w:t xml:space="preserve"> </w:t>
      </w:r>
      <w:r>
        <w:t xml:space="preserve">(e.g.,</w:t>
      </w:r>
      <w:r>
        <w:t xml:space="preserve"> </w:t>
      </w:r>
      <w:r>
        <w:t xml:space="preserve">companion,</w:t>
      </w:r>
      <w:r>
        <w:t xml:space="preserve"> </w:t>
      </w:r>
      <w:r>
        <w:t xml:space="preserve">comment,</w:t>
      </w:r>
      <w:r>
        <w:t xml:space="preserve"> </w:t>
      </w:r>
      <w:r>
        <w:t xml:space="preserve">reply,</w:t>
      </w:r>
      <w:r>
        <w:t xml:space="preserve"> </w:t>
      </w:r>
      <w:r>
        <w:t xml:space="preserve">or</w:t>
      </w:r>
      <w:r>
        <w:t xml:space="preserve"> </w:t>
      </w:r>
      <w:r>
        <w:t xml:space="preserve">commentary</w:t>
      </w:r>
      <w:r>
        <w:t xml:space="preserve"> </w:t>
      </w:r>
      <w:r>
        <w:t xml:space="preserve">on</w:t>
      </w:r>
      <w:r>
        <w:t xml:space="preserve"> </w:t>
      </w:r>
      <w:r>
        <w:t xml:space="preserve">another</w:t>
      </w:r>
      <w:r>
        <w:t xml:space="preserve"> </w:t>
      </w:r>
      <w:r>
        <w:t xml:space="preserve">paper(s)).</w:t>
      </w:r>
      <w:r>
        <w:t xml:space="preserve"> </w:t>
      </w:r>
      <w:r>
        <w:t xml:space="preserve">AGU’s</w:t>
      </w:r>
      <w:r>
        <w:t xml:space="preserve"> </w:t>
      </w:r>
      <w:r>
        <w:t xml:space="preserve">Style</w:t>
      </w:r>
      <w:r>
        <w:t xml:space="preserve"> </w:t>
      </w:r>
      <w:r>
        <w:t xml:space="preserve">Guide</w:t>
      </w:r>
      <w:r>
        <w:t xml:space="preserve"> </w:t>
      </w:r>
      <w:r>
        <w:t xml:space="preserve">discusses</w:t>
      </w:r>
      <w:r>
        <w:t xml:space="preserve"> </w:t>
      </w:r>
      <w:r>
        <w:t xml:space="preserve">formatting</w:t>
      </w:r>
      <w:r>
        <w:t xml:space="preserve"> </w:t>
      </w:r>
      <w:r>
        <w:t xml:space="preserve">citations</w:t>
      </w:r>
      <w:r>
        <w:t xml:space="preserve"> </w:t>
      </w:r>
      <w:r>
        <w:t xml:space="preserve">in</w:t>
      </w:r>
      <w:r>
        <w:t xml:space="preserve"> </w:t>
      </w:r>
      <w:r>
        <w:t xml:space="preserve">abstracts.</w:t>
      </w:r>
    </w:p>
    <w:p>
      <w:pPr>
        <w:numPr>
          <w:ilvl w:val="0"/>
          <w:numId w:val="1001"/>
        </w:numPr>
        <w:pStyle w:val="Compact"/>
      </w:pPr>
      <w:r>
        <w:t xml:space="preserve">Define</w:t>
      </w:r>
      <w:r>
        <w:t xml:space="preserve"> </w:t>
      </w:r>
      <w:r>
        <w:t xml:space="preserve">all</w:t>
      </w:r>
      <w:r>
        <w:t xml:space="preserve"> </w:t>
      </w:r>
      <w:r>
        <w:t xml:space="preserve">abbreviations.</w:t>
      </w:r>
    </w:p>
    <w:bookmarkStart w:id="20" w:name="introduction"/>
    <w:p>
      <w:pPr>
        <w:pStyle w:val="Heading2"/>
      </w:pPr>
      <w:r>
        <w:t xml:space="preserve">Introduction</w:t>
      </w:r>
    </w:p>
    <w:p>
      <w:pPr>
        <w:pStyle w:val="FirstParagraph"/>
      </w:pPr>
      <w:r>
        <w:t xml:space="preserve">This is a simple placeholder for the manuscript’s main document.</w:t>
      </w:r>
    </w:p>
    <w:bookmarkEnd w:id="20"/>
    <w:bookmarkStart w:id="21" w:name="data-methods"/>
    <w:p>
      <w:pPr>
        <w:pStyle w:val="Heading2"/>
      </w:pPr>
      <w:r>
        <w:t xml:space="preserve">Data &amp; Methods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Preparing your manuscript</dc:title>
  <dc:creator>Charlotte Wickham; Charles Teague</dc:creator>
  <cp:keywords/>
  <dcterms:created xsi:type="dcterms:W3CDTF">2023-05-16T21:07:16Z</dcterms:created>
  <dcterms:modified xsi:type="dcterms:W3CDTF">2023-05-16T21:07:16Z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abstract (1) states the nature of the investigation and (2) summarizes the important conclusions. The abstract should be suitable for indexing. Your abstract should:Be set as a single paragraph.Be less than 250 words for all journals except GRL, for which the limit is 150 words.Not include table or figure mentions.Avoid reference citations unless dependent on or directly related to another paper (e.g., companion, comment, reply, or commentary on another paper(s)). AGU’s Style Guide discusses formatting citations in abstracts.Define all abbreviations.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date">
    <vt:lpwstr>2023-05-16</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key-points">
    <vt:lpwstr/>
  </property>
  <property fmtid="{D5CDD505-2E9C-101B-9397-08002B2CF9AE}" pid="15" name="labels">
    <vt:lpwstr/>
  </property>
  <property fmtid="{D5CDD505-2E9C-101B-9397-08002B2CF9AE}" pid="16" name="manuscript">
    <vt:lpwstr/>
  </property>
  <property fmtid="{D5CDD505-2E9C-101B-9397-08002B2CF9AE}" pid="17" name="plain-language-summary">
    <vt:lpwstr>A Plain Language Summary (PLS) can be an incredibly effective science communication tool. By summarizing your paper in non-technical terms, you can explain your research and its relevance to a much broader audience. A PLS is required for submissions to AGU Advances, G-Cubed, GeoHealth, GRL, JAMES, JGR: Biogeosciences, JGR: Oceans, JGR: Planets, JGR: Solid Earth, JGR: Atmospheres, Space Weather, and Reviews of Geophysics, but optional for other journals. A PLS should be no longer than 200 words and should be free of jargon, acronyms, equations, and any technical information that would be unknown to people from outside your scientific discipline. Read our tips for creating an effective PLS.</vt:lpwstr>
  </property>
  <property fmtid="{D5CDD505-2E9C-101B-9397-08002B2CF9AE}" pid="18" name="toc-title">
    <vt:lpwstr>Table of contents</vt:lpwstr>
  </property>
</Properties>
</file>