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44"/>
          <w:szCs w:val="44"/>
        </w:rPr>
        <w:t xml:space="preserve">KWALITY FOODS LLC</w:t>
      </w:r>
    </w:p>
    <w:p>
      <w:pPr>
        <w:spacing w:after="100"/>
        <w:jc w:val="center"/>
      </w:pPr>
      <w:r>
        <w:rPr>
          <w:rFonts w:ascii="Arial" w:cs="Arial" w:eastAsia="Arial" w:hAnsi="Arial"/>
          <w:color w:val="2C3E50"/>
          <w:sz w:val="36"/>
          <w:szCs w:val="36"/>
        </w:rPr>
        <w:t xml:space="preserve">Operational Pattern Analysis</w:t>
      </w:r>
    </w:p>
    <w:p>
      <w:pPr>
        <w:spacing w:after="600"/>
        <w:jc w:val="center"/>
      </w:pPr>
      <w:r>
        <w:rPr>
          <w:rFonts w:ascii="Arial" w:cs="Arial" w:eastAsia="Arial" w:hAnsi="Arial"/>
          <w:color w:val="7F8C8D"/>
          <w:sz w:val="24"/>
          <w:szCs w:val="24"/>
        </w:rPr>
        <w:t xml:space="preserve">Cross-File Insights from Orders, Production, QC &amp; Invoicing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3"/>
              <w:left w:val="none" w:color="FFFFFF" w:sz="0"/>
              <w:bottom w:val="none" w:color="FFFFFF" w:sz="0"/>
              <w:right w:val="none" w:color="FFFFFF" w:sz="0"/>
            </w:tcBorders>
            <w:shd w:fill="D6EAF8" w:val="clear"/>
            <w:tcMar>
              <w:top w:type="dxa" w:w="200"/>
              <w:left w:type="dxa" w:w="300"/>
              <w:bottom w:type="dxa" w:w="200"/>
              <w:right w:type="dxa" w:w="300"/>
            </w:tcMar>
          </w:tcPr>
          <w:p>
            <w:pPr>
              <w:spacing w:after="80"/>
              <w:jc w:val="center"/>
            </w:pPr>
            <w:r>
              <w:rPr>
                <w:rFonts w:ascii="Arial" w:cs="Arial" w:eastAsia="Arial" w:hAnsi="Arial"/>
                <w:color w:val="1B4F72"/>
                <w:sz w:val="22"/>
                <w:szCs w:val="22"/>
              </w:rPr>
              <w:t xml:space="preserve">6 files analyzed  |  April – May 2025  |  5 patterns identified  |  3 high-risk findings</w:t>
            </w:r>
          </w:p>
        </w:tc>
      </w:tr>
    </w:tbl>
    <w:p>
      <w:pPr>
        <w:spacing w:before="2400"/>
      </w:pPr>
    </w:p>
    <w:p>
      <w:pPr>
        <w:jc w:val="center"/>
      </w:pPr>
      <w:r>
        <w:rPr>
          <w:rFonts w:ascii="Arial" w:cs="Arial" w:eastAsia="Arial" w:hAnsi="Arial"/>
          <w:color w:val="7F8C8D"/>
          <w:sz w:val="22"/>
          <w:szCs w:val="22"/>
        </w:rPr>
        <w:t xml:space="preserve">February 2026</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rPr>
          <w:rFonts w:ascii="Arial" w:cs="Arial" w:eastAsia="Arial" w:hAnsi="Arial"/>
          <w:sz w:val="22"/>
          <w:szCs w:val="22"/>
        </w:rPr>
        <w:t xml:space="preserve">This report analyzes six operational documents from Kwality Foods LLC spanning April–May 2025. The files cover the full order-to-fulfillment cycle: handwritten customer orders, quality control batch sheets, HACCP records, production work orders, and an invoice template. Five cross-cutting patterns emerge, three of which represent high-risk operational gaps that are strong candidates for automation.</w:t>
      </w:r>
    </w:p>
    <w:p>
      <w:pPr>
        <w:spacing w:after="80"/>
      </w:pPr>
    </w:p>
    <w:p>
      <w:pPr>
        <w:pStyle w:val="Heading1"/>
      </w:pPr>
      <w:r>
        <w:t xml:space="preserve">Files Analyzed</w:t>
      </w:r>
    </w:p>
    <w:p>
      <w:pPr>
        <w:spacing w:after="120"/>
      </w:pPr>
      <w:r>
        <w:rPr>
          <w:rFonts w:ascii="Arial" w:cs="Arial" w:eastAsia="Arial" w:hAnsi="Arial"/>
          <w:sz w:val="22"/>
          <w:szCs w:val="22"/>
        </w:rPr>
        <w:t xml:space="preserve">The following table summarizes the six files included in this analysis: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IMG_4693.JPEG</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Image</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order for Rasoi III, 05/29/25 — $1,165 across 6 SKUs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IMG_4694.JPEG</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Image</w:t>
            </w:r>
          </w:p>
        </w:tc>
        <w:tc>
          <w:tcPr>
            <w:tcW w:type="dxa" w:w="5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order for Rasoi III, 04/04/25 — $250 across 3 SKUs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Sample1.pdf</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PDF (3 pg)</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QC batch sheet, processing procedure, packing record for Kulfi production</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Sample2.pdf</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PDF (4 pg)</w:t>
            </w:r>
          </w:p>
        </w:tc>
        <w:tc>
          <w:tcPr>
            <w:tcW w:type="dxa" w:w="5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QC records plus HACCP cooking/filling control records for another batch</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Sample202512.pdf</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PDF (9 pg)</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 Order Flag Reports for May 2025 — 9 products scheduled 05/12/25</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Invoice Template.xlsx</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Excel</w:t>
            </w:r>
          </w:p>
        </w:tc>
        <w:tc>
          <w:tcPr>
            <w:tcW w:type="dxa" w:w="5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Invoice template with external workbook references for customer/item data</w:t>
            </w:r>
          </w:p>
        </w:tc>
      </w:tr>
    </w:tbl>
    <w:p>
      <w:pPr>
        <w:spacing w:after="80"/>
      </w:pPr>
    </w:p>
    <w:p>
      <w:r>
        <w:br w:type="page"/>
      </w:r>
    </w:p>
    <w:p>
      <w:pPr>
        <w:pStyle w:val="Heading1"/>
      </w:pPr>
      <w:r>
        <w:t xml:space="preserve">Pattern 1: Handwritten Orders to Digital Production — No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7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i/>
                <w:iCs/>
                <w:sz w:val="20"/>
                <w:szCs w:val="20"/>
              </w:rPr>
              <w:t xml:space="preserve">Order capture is manual; production planning is digital. No automation connects the two systems.</w:t>
            </w:r>
          </w:p>
        </w:tc>
      </w:tr>
    </w:tbl>
    <w:p>
      <w:pPr>
        <w:spacing w:after="80"/>
      </w:pPr>
    </w:p>
    <w:p>
      <w:pPr>
        <w:spacing w:after="120"/>
      </w:pPr>
      <w:r>
        <w:rPr>
          <w:rFonts w:ascii="Arial" w:cs="Arial" w:eastAsia="Arial" w:hAnsi="Arial"/>
          <w:sz w:val="22"/>
          <w:szCs w:val="22"/>
        </w:rPr>
        <w:t xml:space="preserve">Kwality Foods captures customer orders on handwritten receipt pads while scheduling production through a digital ERP system generating Work Order Flag Reports. There is no visible mechanism translating one into the other.</w:t>
      </w:r>
    </w:p>
    <w:p>
      <w:pPr>
        <w:pStyle w:val="Heading3"/>
      </w:pPr>
      <w:r>
        <w:t xml:space="preserve">Evidence</w:t>
      </w:r>
    </w:p>
    <w:p>
      <w:pPr>
        <w:pStyle w:val="ListParagraph"/>
        <w:numPr>
          <w:ilvl w:val="0"/>
          <w:numId w:val="2"/>
        </w:numPr>
        <w:spacing w:after="80"/>
      </w:pPr>
      <w:r>
        <w:rPr>
          <w:rFonts w:ascii="Arial" w:cs="Arial" w:eastAsia="Arial" w:hAnsi="Arial"/>
          <w:b/>
          <w:bCs/>
          <w:sz w:val="22"/>
          <w:szCs w:val="22"/>
        </w:rPr>
        <w:t xml:space="preserve">Order #64333 (05/29/25): </w:t>
      </w:r>
      <w:r>
        <w:rPr>
          <w:rFonts w:ascii="Arial" w:cs="Arial" w:eastAsia="Arial" w:hAnsi="Arial"/>
          <w:sz w:val="22"/>
          <w:szCs w:val="22"/>
        </w:rPr>
        <w:t xml:space="preserve">Handwritten tally of 21 units across 4 flavors plus Kesar Pista and Paan Masala, totaling $1,165. No corresponding digital work order is visible for this date in the production records.</w:t>
      </w:r>
    </w:p>
    <w:p>
      <w:pPr>
        <w:pStyle w:val="ListParagraph"/>
        <w:numPr>
          <w:ilvl w:val="0"/>
          <w:numId w:val="2"/>
        </w:numPr>
        <w:spacing w:after="80"/>
      </w:pPr>
      <w:r>
        <w:rPr>
          <w:rFonts w:ascii="Arial" w:cs="Arial" w:eastAsia="Arial" w:hAnsi="Arial"/>
          <w:b/>
          <w:bCs/>
          <w:sz w:val="22"/>
          <w:szCs w:val="22"/>
        </w:rPr>
        <w:t xml:space="preserve">Order #65352 (04/04/25): </w:t>
      </w:r>
      <w:r>
        <w:rPr>
          <w:rFonts w:ascii="Arial" w:cs="Arial" w:eastAsia="Arial" w:hAnsi="Arial"/>
          <w:sz w:val="22"/>
          <w:szCs w:val="22"/>
        </w:rPr>
        <w:t xml:space="preserve">5 units manually calculated at $250. The invoice template references invoice #65250, a different number entirely, suggesting order-to-invoice mapping relies on manual data entry.</w:t>
      </w:r>
    </w:p>
    <w:p>
      <w:pPr>
        <w:pStyle w:val="ListParagraph"/>
        <w:numPr>
          <w:ilvl w:val="0"/>
          <w:numId w:val="2"/>
        </w:numPr>
        <w:spacing w:after="80"/>
      </w:pPr>
      <w:r>
        <w:rPr>
          <w:rFonts w:ascii="Arial" w:cs="Arial" w:eastAsia="Arial" w:hAnsi="Arial"/>
          <w:b/>
          <w:bCs/>
          <w:sz w:val="22"/>
          <w:szCs w:val="22"/>
        </w:rPr>
        <w:t xml:space="preserve">Work orders (05/12/25): </w:t>
      </w:r>
      <w:r>
        <w:rPr>
          <w:rFonts w:ascii="Arial" w:cs="Arial" w:eastAsia="Arial" w:hAnsi="Arial"/>
          <w:sz w:val="22"/>
          <w:szCs w:val="22"/>
        </w:rPr>
        <w:t xml:space="preserve">9 products scheduled with precise gallon measurements (88.2 gal Paan Masala, 70.5 gal Malai Kulfi), but no traceability back to which customer orders triggered this production run.</w:t>
      </w:r>
    </w:p>
    <w:p>
      <w:pPr>
        <w:pStyle w:val="Heading3"/>
      </w:pPr>
      <w:r>
        <w:t xml:space="preserve">Recommendation</w:t>
      </w:r>
    </w:p>
    <w:p>
      <w:pPr>
        <w:spacing w:after="120"/>
      </w:pPr>
      <w:r>
        <w:rPr>
          <w:rFonts w:ascii="Arial" w:cs="Arial" w:eastAsia="Arial" w:hAnsi="Arial"/>
          <w:sz w:val="22"/>
          <w:szCs w:val="22"/>
        </w:rPr>
        <w:t xml:space="preserve">Build an order ingestion pipeline that captures handwritten orders via OCR, normalizes SKU names to the ERP product catalog, and auto-generates or links to production work orders. This is the highest-ROI automation opportunity in the current workflow.</w:t>
      </w:r>
    </w:p>
    <w:p>
      <w:r>
        <w:br w:type="page"/>
      </w:r>
    </w:p>
    <w:p>
      <w:pPr>
        <w:pStyle w:val="Heading1"/>
      </w:pPr>
      <w:r>
        <w:t xml:space="preserve">Pattern 2: Standardized Base Formula with Modular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DC3C7" w:sz="1"/>
              <w:left w:val="single" w:color="BDC3C7" w:sz="1"/>
              <w:bottom w:val="single" w:color="BDC3C7" w:sz="1"/>
              <w:right w:val="single" w:color="BDC3C7"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7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i/>
                <w:iCs/>
                <w:sz w:val="20"/>
                <w:szCs w:val="20"/>
              </w:rPr>
              <w:t xml:space="preserve">A fixed base recipe enables product diversification through modular mix-ins, but batch scaling is not automated.</w:t>
            </w:r>
          </w:p>
        </w:tc>
      </w:tr>
    </w:tbl>
    <w:p>
      <w:pPr>
        <w:spacing w:after="80"/>
      </w:pPr>
    </w:p>
    <w:p>
      <w:pPr>
        <w:spacing w:after="120"/>
      </w:pPr>
      <w:r>
        <w:rPr>
          <w:rFonts w:ascii="Arial" w:cs="Arial" w:eastAsia="Arial" w:hAnsi="Arial"/>
          <w:sz w:val="22"/>
          <w:szCs w:val="22"/>
        </w:rPr>
        <w:t xml:space="preserve">Both QC batch sheets (Sample1.pdf and Sample2.pdf) use an identical base Kulfi formula that has remained unchanged since its last revision on 2/20/2014. Flavor variants are introduced through pre-mixed ingredient modules rather than formula reformulation.</w:t>
      </w:r>
    </w:p>
    <w:p>
      <w:pPr>
        <w:pStyle w:val="Heading3"/>
      </w:pPr>
      <w:r>
        <w:t xml:space="preserve">Evidence</w:t>
      </w:r>
    </w:p>
    <w:p>
      <w:pPr>
        <w:pStyle w:val="ListParagraph"/>
        <w:numPr>
          <w:ilvl w:val="0"/>
          <w:numId w:val="2"/>
        </w:numPr>
        <w:spacing w:after="80"/>
      </w:pPr>
      <w:r>
        <w:rPr>
          <w:rFonts w:ascii="Arial" w:cs="Arial" w:eastAsia="Arial" w:hAnsi="Arial"/>
          <w:b/>
          <w:bCs/>
          <w:sz w:val="22"/>
          <w:szCs w:val="22"/>
        </w:rPr>
        <w:t xml:space="preserve">Identical base across batches: </w:t>
      </w:r>
      <w:r>
        <w:rPr>
          <w:rFonts w:ascii="Arial" w:cs="Arial" w:eastAsia="Arial" w:hAnsi="Arial"/>
          <w:sz w:val="22"/>
          <w:szCs w:val="22"/>
        </w:rPr>
        <w:t xml:space="preserve">Both lots (022511 and 032518) specify 136 lbs whole milk, 280 lbs cream, 257 lbs evaporated milk, 100 lbs sugar, and 40 lbs non-fat dry milk powder.</w:t>
      </w:r>
    </w:p>
    <w:p>
      <w:pPr>
        <w:pStyle w:val="ListParagraph"/>
        <w:numPr>
          <w:ilvl w:val="0"/>
          <w:numId w:val="2"/>
        </w:numPr>
        <w:spacing w:after="80"/>
      </w:pPr>
      <w:r>
        <w:rPr>
          <w:rFonts w:ascii="Arial" w:cs="Arial" w:eastAsia="Arial" w:hAnsi="Arial"/>
          <w:b/>
          <w:bCs/>
          <w:sz w:val="22"/>
          <w:szCs w:val="22"/>
        </w:rPr>
        <w:t xml:space="preserve">Modular variant system: </w:t>
      </w:r>
      <w:r>
        <w:rPr>
          <w:rFonts w:ascii="Arial" w:cs="Arial" w:eastAsia="Arial" w:hAnsi="Arial"/>
          <w:sz w:val="22"/>
          <w:szCs w:val="22"/>
        </w:rPr>
        <w:t xml:space="preserve">Work orders show products like Pista Kulfi-Tubs adding Cardamom, Green-Color, and Pistachio-Flavor on top of the shared PREMIX-PLAIN-14 base. Six of nine May 2025 SKUs use this same base.</w:t>
      </w:r>
    </w:p>
    <w:p>
      <w:pPr>
        <w:pStyle w:val="ListParagraph"/>
        <w:numPr>
          <w:ilvl w:val="0"/>
          <w:numId w:val="2"/>
        </w:numPr>
        <w:spacing w:after="80"/>
      </w:pPr>
      <w:r>
        <w:rPr>
          <w:rFonts w:ascii="Arial" w:cs="Arial" w:eastAsia="Arial" w:hAnsi="Arial"/>
          <w:b/>
          <w:bCs/>
          <w:sz w:val="22"/>
          <w:szCs w:val="22"/>
        </w:rPr>
        <w:t xml:space="preserve">Separate production line for Paan Masala: </w:t>
      </w:r>
      <w:r>
        <w:rPr>
          <w:rFonts w:ascii="Arial" w:cs="Arial" w:eastAsia="Arial" w:hAnsi="Arial"/>
          <w:sz w:val="22"/>
          <w:szCs w:val="22"/>
        </w:rPr>
        <w:t xml:space="preserve">This product uses an entirely different ingredient set (Paan-candy, PaanBase, Tutti-Frutti pieces), indicating a parallel production process rather than a variant of the kulfi base.</w:t>
      </w:r>
    </w:p>
    <w:p>
      <w:pPr>
        <w:pStyle w:val="Heading3"/>
      </w:pPr>
      <w:r>
        <w:t xml:space="preserve">Recommendation</w:t>
      </w:r>
    </w:p>
    <w:p>
      <w:pPr>
        <w:spacing w:after="120"/>
      </w:pPr>
      <w:r>
        <w:rPr>
          <w:rFonts w:ascii="Arial" w:cs="Arial" w:eastAsia="Arial" w:hAnsi="Arial"/>
          <w:sz w:val="22"/>
          <w:szCs w:val="22"/>
        </w:rPr>
        <w:t xml:space="preserve">Add a batch-size scaling layer to the ERP that automatically adjusts base formula quantities proportionally when production volume changes. The modular architecture is well-designed for scaling; the missing piece is automated ratio calculation.</w:t>
      </w:r>
    </w:p>
    <w:p>
      <w:r>
        <w:br w:type="page"/>
      </w:r>
    </w:p>
    <w:p>
      <w:pPr>
        <w:pStyle w:val="Heading1"/>
      </w:pPr>
      <w:r>
        <w:t xml:space="preserve">Pattern 3: Quality Control Documentation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7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i/>
                <w:iCs/>
                <w:sz w:val="20"/>
                <w:szCs w:val="20"/>
              </w:rPr>
              <w:t xml:space="preserve">HACCP framework exists but execution records are incomplete. SOPs have not been formally updated in 11 years.</w:t>
            </w:r>
          </w:p>
        </w:tc>
      </w:tr>
    </w:tbl>
    <w:p>
      <w:pPr>
        <w:spacing w:after="80"/>
      </w:pPr>
    </w:p>
    <w:p>
      <w:pPr>
        <w:spacing w:after="120"/>
      </w:pPr>
      <w:r>
        <w:rPr>
          <w:rFonts w:ascii="Arial" w:cs="Arial" w:eastAsia="Arial" w:hAnsi="Arial"/>
          <w:sz w:val="22"/>
          <w:szCs w:val="22"/>
        </w:rPr>
        <w:t xml:space="preserve">The QC records demonstrate awareness of FDA food safety requirements—formula batch sheets, processing procedures, HACCP control records, and packing records are all present. However, actual execution data (temperatures, timestamps, operator verifications) appears sparse or unfilled in the scanned documents.</w:t>
      </w:r>
    </w:p>
    <w:p>
      <w:pPr>
        <w:pStyle w:val="Heading3"/>
      </w:pPr>
      <w:r>
        <w:t xml:space="preserve">Evidence</w:t>
      </w:r>
    </w:p>
    <w:p>
      <w:pPr>
        <w:pStyle w:val="ListParagraph"/>
        <w:numPr>
          <w:ilvl w:val="0"/>
          <w:numId w:val="2"/>
        </w:numPr>
        <w:spacing w:after="80"/>
      </w:pPr>
      <w:r>
        <w:rPr>
          <w:rFonts w:ascii="Arial" w:cs="Arial" w:eastAsia="Arial" w:hAnsi="Arial"/>
          <w:b/>
          <w:bCs/>
          <w:sz w:val="22"/>
          <w:szCs w:val="22"/>
        </w:rPr>
        <w:t xml:space="preserve">11-year-old SOPs: </w:t>
      </w:r>
      <w:r>
        <w:rPr>
          <w:rFonts w:ascii="Arial" w:cs="Arial" w:eastAsia="Arial" w:hAnsi="Arial"/>
          <w:sz w:val="22"/>
          <w:szCs w:val="22"/>
        </w:rPr>
        <w:t xml:space="preserve">Both Sample1.pdf and Sample2.pdf reference processing procedures "Revised 2/20/14" as the current standard. No evidence of interim updates despite being used in January 2025 production.</w:t>
      </w:r>
    </w:p>
    <w:p>
      <w:pPr>
        <w:pStyle w:val="ListParagraph"/>
        <w:numPr>
          <w:ilvl w:val="0"/>
          <w:numId w:val="2"/>
        </w:numPr>
        <w:spacing w:after="80"/>
      </w:pPr>
      <w:r>
        <w:rPr>
          <w:rFonts w:ascii="Arial" w:cs="Arial" w:eastAsia="Arial" w:hAnsi="Arial"/>
          <w:b/>
          <w:bCs/>
          <w:sz w:val="22"/>
          <w:szCs w:val="22"/>
        </w:rPr>
        <w:t xml:space="preserve">HACCP tracking form gaps: </w:t>
      </w:r>
      <w:r>
        <w:rPr>
          <w:rFonts w:ascii="Arial" w:cs="Arial" w:eastAsia="Arial" w:hAnsi="Arial"/>
          <w:sz w:val="22"/>
          <w:szCs w:val="22"/>
        </w:rPr>
        <w:t xml:space="preserve">Sample2.pdf includes a Cooking B1/Filling B2 tracking form with fields for time, temperature, and Brix at each processing step. The critical control point (filling temperature minimum 165°F) is documented as a requirement, but actual recorded readings appear incomplete.</w:t>
      </w:r>
    </w:p>
    <w:p>
      <w:pPr>
        <w:pStyle w:val="ListParagraph"/>
        <w:numPr>
          <w:ilvl w:val="0"/>
          <w:numId w:val="2"/>
        </w:numPr>
        <w:spacing w:after="80"/>
      </w:pPr>
      <w:r>
        <w:rPr>
          <w:rFonts w:ascii="Arial" w:cs="Arial" w:eastAsia="Arial" w:hAnsi="Arial"/>
          <w:b/>
          <w:bCs/>
          <w:sz w:val="22"/>
          <w:szCs w:val="22"/>
        </w:rPr>
        <w:t xml:space="preserve">Packing record data: </w:t>
      </w:r>
      <w:r>
        <w:rPr>
          <w:rFonts w:ascii="Arial" w:cs="Arial" w:eastAsia="Arial" w:hAnsi="Arial"/>
          <w:sz w:val="22"/>
          <w:szCs w:val="22"/>
        </w:rPr>
        <w:t xml:space="preserve">Both files specify minimum 6.0 lbs per pouch and minimum fill temperature of 165°F, but digitized records of actual weights, fill times, and operator sign-offs are not present.</w:t>
      </w:r>
    </w:p>
    <w:p>
      <w:pPr>
        <w:pStyle w:val="Heading3"/>
      </w:pPr>
      <w:r>
        <w:t xml:space="preserve">Recommendation</w:t>
      </w:r>
    </w:p>
    <w:p>
      <w:pPr>
        <w:spacing w:after="120"/>
      </w:pPr>
      <w:r>
        <w:rPr>
          <w:rFonts w:ascii="Arial" w:cs="Arial" w:eastAsia="Arial" w:hAnsi="Arial"/>
          <w:sz w:val="22"/>
          <w:szCs w:val="22"/>
        </w:rPr>
        <w:t xml:space="preserve">Digitize HACCP execution logs by connecting IoT temperature probes and Brix measurement devices directly to lot numbers. Auto-generate timestamped records at each critical control point. This creates a defensible audit trail for FDA inspections and insurance requirements.</w:t>
      </w:r>
    </w:p>
    <w:p>
      <w:r>
        <w:br w:type="page"/>
      </w:r>
    </w:p>
    <w:p>
      <w:pPr>
        <w:pStyle w:val="Heading1"/>
      </w:pPr>
      <w:r>
        <w:t xml:space="preserve">Pattern 4: Heavy Kulfi Concentration (~66% of Production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DC3C7" w:sz="1"/>
              <w:left w:val="single" w:color="BDC3C7" w:sz="1"/>
              <w:bottom w:val="single" w:color="BDC3C7" w:sz="1"/>
              <w:right w:val="single" w:color="BDC3C7"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7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i/>
                <w:iCs/>
                <w:sz w:val="20"/>
                <w:szCs w:val="20"/>
              </w:rPr>
              <w:t xml:space="preserve">Product mix is heavily concentrated in kulfi variants. Diversification experiments are nascent.</w:t>
            </w:r>
          </w:p>
        </w:tc>
      </w:tr>
    </w:tbl>
    <w:p>
      <w:pPr>
        <w:spacing w:after="80"/>
      </w:pPr>
    </w:p>
    <w:p>
      <w:pPr>
        <w:spacing w:after="120"/>
      </w:pPr>
      <w:r>
        <w:rPr>
          <w:rFonts w:ascii="Arial" w:cs="Arial" w:eastAsia="Arial" w:hAnsi="Arial"/>
          <w:sz w:val="22"/>
          <w:szCs w:val="22"/>
        </w:rPr>
        <w:t xml:space="preserve">Analyzing both production work orders and customer orders reveals that kulfi variants account for roughly two-thirds of scheduled production volume in May 2025. Non-kulfi products (Paan Masala, Kulfi Falooda) are being tested but remain a small fraction of output.</w:t>
      </w:r>
    </w:p>
    <w:p>
      <w:pPr>
        <w:pStyle w:val="Heading3"/>
      </w:pPr>
      <w:r>
        <w:t xml:space="preserve">Production Volume Breakdown (05/12/25)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Qty</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Volume</w:t>
            </w:r>
          </w:p>
        </w:tc>
        <w:tc>
          <w:tcPr>
            <w:tcW w:type="dxa" w:w="2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WIP-PaanMasala</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88.2 gal</w:t>
            </w:r>
          </w:p>
        </w:tc>
        <w:tc>
          <w:tcPr>
            <w:tcW w:type="dxa" w:w="2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Non-Kulfi</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WIP-MawaKulfi-Tubs</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72.0 gal</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Kulfi</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WIP-MalaiKulfi-Tubs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70.5 gal</w:t>
            </w:r>
          </w:p>
        </w:tc>
        <w:tc>
          <w:tcPr>
            <w:tcW w:type="dxa" w:w="2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Kulfi</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WIP-PistaKulfi-Tubs</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22.0 gal</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Kulfi</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WIP-RosePetal</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Kulfi</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WIP-Figs&amp;Walnut</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Kulfi</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WIP-Vanilla</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Kulfi</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WIP-KulfiFalooda</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Non-Kulfi</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WIP-SugarFree-Figs&amp;Walnut</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Kulfi (Sugar-Free)</w:t>
            </w:r>
          </w:p>
        </w:tc>
      </w:tr>
    </w:tbl>
    <w:p>
      <w:pPr>
        <w:spacing w:after="80"/>
      </w:pPr>
    </w:p>
    <w:p>
      <w:pPr>
        <w:pStyle w:val="Heading3"/>
      </w:pPr>
      <w:r>
        <w:t xml:space="preserve">Evidence</w:t>
      </w:r>
    </w:p>
    <w:p>
      <w:pPr>
        <w:pStyle w:val="ListParagraph"/>
        <w:numPr>
          <w:ilvl w:val="0"/>
          <w:numId w:val="2"/>
        </w:numPr>
        <w:spacing w:after="80"/>
      </w:pPr>
      <w:r>
        <w:rPr>
          <w:rFonts w:ascii="Arial" w:cs="Arial" w:eastAsia="Arial" w:hAnsi="Arial"/>
          <w:b/>
          <w:bCs/>
          <w:sz w:val="22"/>
          <w:szCs w:val="22"/>
        </w:rPr>
        <w:t xml:space="preserve">Customer order confirms: </w:t>
      </w:r>
      <w:r>
        <w:rPr>
          <w:rFonts w:ascii="Arial" w:cs="Arial" w:eastAsia="Arial" w:hAnsi="Arial"/>
          <w:sz w:val="22"/>
          <w:szCs w:val="22"/>
        </w:rPr>
        <w:t xml:space="preserve">Order #64333 from Rasoi III (05/29/25) is 95% kulfi-family products (21 of 22 units). The April order is 100% kulfi.</w:t>
      </w:r>
    </w:p>
    <w:p>
      <w:pPr>
        <w:pStyle w:val="ListParagraph"/>
        <w:numPr>
          <w:ilvl w:val="0"/>
          <w:numId w:val="2"/>
        </w:numPr>
        <w:spacing w:after="80"/>
      </w:pPr>
      <w:r>
        <w:rPr>
          <w:rFonts w:ascii="Arial" w:cs="Arial" w:eastAsia="Arial" w:hAnsi="Arial"/>
          <w:b/>
          <w:bCs/>
          <w:sz w:val="22"/>
          <w:szCs w:val="22"/>
        </w:rPr>
        <w:t xml:space="preserve">Sugar-Free as emerging segment: </w:t>
      </w:r>
      <w:r>
        <w:rPr>
          <w:rFonts w:ascii="Arial" w:cs="Arial" w:eastAsia="Arial" w:hAnsi="Arial"/>
          <w:sz w:val="22"/>
          <w:szCs w:val="22"/>
        </w:rPr>
        <w:t xml:space="preserve">Only 1 unit of Sugar-Free Figs &amp; Walnut scheduled in May, using a different pre-mix (SugarFree-12%PreMix vs. PREMIX-PLAIN-14). Early-stage experiment worth tracking.</w:t>
      </w:r>
    </w:p>
    <w:p>
      <w:pPr>
        <w:pStyle w:val="Heading3"/>
      </w:pPr>
      <w:r>
        <w:t xml:space="preserve">Recommendation</w:t>
      </w:r>
    </w:p>
    <w:p>
      <w:pPr>
        <w:spacing w:after="120"/>
      </w:pPr>
      <w:r>
        <w:rPr>
          <w:rFonts w:ascii="Arial" w:cs="Arial" w:eastAsia="Arial" w:hAnsi="Arial"/>
          <w:sz w:val="22"/>
          <w:szCs w:val="22"/>
        </w:rPr>
        <w:t xml:space="preserve">Track month-over-month production volume by category (kulfi vs. non-kulfi vs. sugar-free) to monitor diversification velocity. Set up inventory turnover alerts for new products to catch slow-moving SKUs early.</w:t>
      </w:r>
    </w:p>
    <w:p>
      <w:r>
        <w:br w:type="page"/>
      </w:r>
    </w:p>
    <w:p>
      <w:pPr>
        <w:pStyle w:val="Heading1"/>
      </w:pPr>
      <w:r>
        <w:t xml:space="preserve">Pattern 5: Invoice Template Disconnected from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7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i/>
                <w:iCs/>
                <w:sz w:val="20"/>
                <w:szCs w:val="20"/>
              </w:rPr>
              <w:t xml:space="preserve">Invoice generation has no referential integrity to orders or production. Manual data entry is the sole bridge.</w:t>
            </w:r>
          </w:p>
        </w:tc>
      </w:tr>
    </w:tbl>
    <w:p>
      <w:pPr>
        <w:spacing w:after="80"/>
      </w:pPr>
    </w:p>
    <w:p>
      <w:pPr>
        <w:spacing w:after="120"/>
      </w:pPr>
      <w:r>
        <w:rPr>
          <w:rFonts w:ascii="Arial" w:cs="Arial" w:eastAsia="Arial" w:hAnsi="Arial"/>
          <w:sz w:val="22"/>
          <w:szCs w:val="22"/>
        </w:rPr>
        <w:t xml:space="preserve">The Excel invoice template pulls data from an external workbook via formulas like =[1]Sheet1!C2, but there is no validation layer, no order-number matching, and no unit conversion between production measurements (gallons) and invoice quantities (units/cases).</w:t>
      </w:r>
    </w:p>
    <w:p>
      <w:pPr>
        <w:pStyle w:val="Heading3"/>
      </w:pPr>
      <w:r>
        <w:t xml:space="preserve">Evidence</w:t>
      </w:r>
    </w:p>
    <w:p>
      <w:pPr>
        <w:pStyle w:val="ListParagraph"/>
        <w:numPr>
          <w:ilvl w:val="0"/>
          <w:numId w:val="2"/>
        </w:numPr>
        <w:spacing w:after="80"/>
      </w:pPr>
      <w:r>
        <w:rPr>
          <w:rFonts w:ascii="Arial" w:cs="Arial" w:eastAsia="Arial" w:hAnsi="Arial"/>
          <w:b/>
          <w:bCs/>
          <w:sz w:val="22"/>
          <w:szCs w:val="22"/>
        </w:rPr>
        <w:t xml:space="preserve">Invoice/order number mismatch: </w:t>
      </w:r>
      <w:r>
        <w:rPr>
          <w:rFonts w:ascii="Arial" w:cs="Arial" w:eastAsia="Arial" w:hAnsi="Arial"/>
          <w:sz w:val="22"/>
          <w:szCs w:val="22"/>
        </w:rPr>
        <w:t xml:space="preserve">The template references invoice #65250 across all 24 rows, while the handwritten orders are numbered #64333 and #65352. No reconciliation mechanism is visible.</w:t>
      </w:r>
    </w:p>
    <w:p>
      <w:pPr>
        <w:pStyle w:val="ListParagraph"/>
        <w:numPr>
          <w:ilvl w:val="0"/>
          <w:numId w:val="2"/>
        </w:numPr>
        <w:spacing w:after="80"/>
      </w:pPr>
      <w:r>
        <w:rPr>
          <w:rFonts w:ascii="Arial" w:cs="Arial" w:eastAsia="Arial" w:hAnsi="Arial"/>
          <w:b/>
          <w:bCs/>
          <w:sz w:val="22"/>
          <w:szCs w:val="22"/>
        </w:rPr>
        <w:t xml:space="preserve">Unit mismatch: </w:t>
      </w:r>
      <w:r>
        <w:rPr>
          <w:rFonts w:ascii="Arial" w:cs="Arial" w:eastAsia="Arial" w:hAnsi="Arial"/>
          <w:sz w:val="22"/>
          <w:szCs w:val="22"/>
        </w:rPr>
        <w:t xml:space="preserve">Work orders specify production in gallons (70.5 gal, 88.2 gal), but the invoice template has a flat ItemQuantity field with no unit-conversion logic. Rate × Quantity calculation assumes a single unit type.</w:t>
      </w:r>
    </w:p>
    <w:p>
      <w:pPr>
        <w:pStyle w:val="ListParagraph"/>
        <w:numPr>
          <w:ilvl w:val="0"/>
          <w:numId w:val="2"/>
        </w:numPr>
        <w:spacing w:after="80"/>
      </w:pPr>
      <w:r>
        <w:rPr>
          <w:rFonts w:ascii="Arial" w:cs="Arial" w:eastAsia="Arial" w:hAnsi="Arial"/>
          <w:b/>
          <w:bCs/>
          <w:sz w:val="22"/>
          <w:szCs w:val="22"/>
        </w:rPr>
        <w:t xml:space="preserve">Missing date granularity: </w:t>
      </w:r>
      <w:r>
        <w:rPr>
          <w:rFonts w:ascii="Arial" w:cs="Arial" w:eastAsia="Arial" w:hAnsi="Arial"/>
          <w:sz w:val="22"/>
          <w:szCs w:val="22"/>
        </w:rPr>
        <w:t xml:space="preserve">All items are marked Taxable: N with shipping date hardcoded to the invoice date. There is no distinction between order date, production date, and actual ship date.</w:t>
      </w:r>
    </w:p>
    <w:p>
      <w:pPr>
        <w:pStyle w:val="Heading3"/>
      </w:pPr>
      <w:r>
        <w:t xml:space="preserve">Recommendation</w:t>
      </w:r>
    </w:p>
    <w:p>
      <w:pPr>
        <w:spacing w:after="120"/>
      </w:pPr>
      <w:r>
        <w:rPr>
          <w:rFonts w:ascii="Arial" w:cs="Arial" w:eastAsia="Arial" w:hAnsi="Arial"/>
          <w:sz w:val="22"/>
          <w:szCs w:val="22"/>
        </w:rPr>
        <w:t xml:space="preserve">Implement order-to-invoice matching with foreign key constraints (order number as the linking identifier). Add unit-aware invoicing that converts production gallons to customer-facing units/cases. Enforce a three-date model: order date, production date, ship date.</w:t>
      </w:r>
    </w:p>
    <w:p>
      <w:r>
        <w:br w:type="page"/>
      </w:r>
    </w:p>
    <w:p>
      <w:pPr>
        <w:pStyle w:val="Heading1"/>
      </w:pPr>
      <w:r>
        <w:t xml:space="preserve">Summary: Risk Prioritization Matrix</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Pattern</w:t>
            </w:r>
          </w:p>
        </w:tc>
        <w:tc>
          <w:tcPr>
            <w:tcW w:type="dxa" w:w="4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Action</w:t>
            </w:r>
          </w:p>
        </w:tc>
      </w:tr>
      <w:tr>
        <w:tc>
          <w:tcPr>
            <w:tcW w:type="dxa" w:w="90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 Order capture disconnect</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Build order ingestion pipeline with OCR + SKU normalization</w:t>
            </w:r>
          </w:p>
        </w:tc>
      </w:tr>
      <w:tr>
        <w:tc>
          <w:tcPr>
            <w:tcW w:type="dxa" w:w="90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5. Invoice isolation</w:t>
            </w:r>
          </w:p>
        </w:tc>
        <w:tc>
          <w:tcPr>
            <w:tcW w:type="dxa" w:w="4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Order-to-invoice reconciliation with audit trail</w:t>
            </w:r>
          </w:p>
        </w:tc>
      </w:tr>
      <w:tr>
        <w:tc>
          <w:tcPr>
            <w:tcW w:type="dxa" w:w="90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3. QC documentation gaps</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Digitize HACCP logs, link IoT sensors to lot numbers</w:t>
            </w:r>
          </w:p>
        </w:tc>
      </w:tr>
      <w:tr>
        <w:tc>
          <w:tcPr>
            <w:tcW w:type="dxa" w:w="900"/>
            <w:tcBorders>
              <w:top w:val="single" w:color="BDC3C7" w:sz="1"/>
              <w:left w:val="single" w:color="BDC3C7" w:sz="1"/>
              <w:bottom w:val="single" w:color="BDC3C7" w:sz="1"/>
              <w:right w:val="single" w:color="BDC3C7"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4. Kulfi concentration</w:t>
            </w:r>
          </w:p>
        </w:tc>
        <w:tc>
          <w:tcPr>
            <w:tcW w:type="dxa" w:w="4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Track diversification metrics month-over-month</w:t>
            </w:r>
          </w:p>
        </w:tc>
      </w:tr>
      <w:tr>
        <w:tc>
          <w:tcPr>
            <w:tcW w:type="dxa" w:w="900"/>
            <w:tcBorders>
              <w:top w:val="single" w:color="BDC3C7" w:sz="1"/>
              <w:left w:val="single" w:color="BDC3C7" w:sz="1"/>
              <w:bottom w:val="single" w:color="BDC3C7" w:sz="1"/>
              <w:right w:val="single" w:color="BDC3C7"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 Formula scaling</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batch-size scaling validation to ERP</w:t>
            </w:r>
          </w:p>
        </w:tc>
      </w:tr>
    </w:tbl>
    <w:p>
      <w:pPr>
        <w:spacing w:after="80"/>
      </w:pPr>
    </w:p>
    <w:p>
      <w:pPr>
        <w:spacing w:after="80"/>
      </w:pPr>
    </w:p>
    <w:p>
      <w:pPr>
        <w:pStyle w:val="Heading1"/>
      </w:pPr>
      <w:r>
        <w:t xml:space="preserve">Highest-Impact Opportunity</w:t>
      </w:r>
    </w:p>
    <w:p>
      <w:pPr>
        <w:spacing w:after="120"/>
      </w:pPr>
      <w:r>
        <w:rPr>
          <w:rFonts w:ascii="Arial" w:cs="Arial" w:eastAsia="Arial" w:hAnsi="Arial"/>
          <w:sz w:val="22"/>
          <w:szCs w:val="22"/>
        </w:rPr>
        <w:t xml:space="preserve">Patterns 1, 3, and 5 converge on a single automation opportunity: an agentic pipeline that ingests handwritten orders via OCR, normalizes SKUs against the product catalog, triggers production work orders with HACCP-linked lot tracking, and auto-generates reconciled invoices. This single system would close all three high-risk gaps simultaneously while creating the data foundation needed to monitor product diversification (Pattern 4) and formula scaling (Pattern 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8"/>
        <w:szCs w:val="18"/>
      </w:rPr>
      <w:t xml:space="preserve">Page </w:t>
    </w:r>
    <w:r>
      <w:rPr>
        <w:rFonts w:ascii="Arial" w:cs="Arial" w:eastAsia="Arial" w:hAnsi="Arial"/>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8"/>
        <w:szCs w:val="18"/>
      </w:rPr>
      <w:t xml:space="preserve">Kwality Foods — Pattern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2026-02-15T08:44:35.869Z</dcterms:created>
  <dcterms:modified xsi:type="dcterms:W3CDTF">2026-02-15T08:44:35.869Z</dcterms:modified>
</cp:coreProperties>
</file>

<file path=docProps/custom.xml><?xml version="1.0" encoding="utf-8"?>
<Properties xmlns="http://schemas.openxmlformats.org/officeDocument/2006/custom-properties" xmlns:vt="http://schemas.openxmlformats.org/officeDocument/2006/docPropsVTypes"/>
</file>