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>Metric</w:t>
            </w:r>
          </w:p>
        </w:tc>
        <w:tc>
          <w:tcPr>
            <w:tcW w:w="4675" w:type="dxa"/>
          </w:tcPr>
          <w:p>
            <w:r>
              <w:t>Value</w:t>
            </w:r>
          </w:p>
        </w:tc>
      </w:tr>
      <w:tr>
        <w:tc>
          <w:tcPr>
            <w:tcW w:w="4675" w:type="dxa"/>
          </w:tcPr>
          <w:p>
            <w:r>
              <w:t>Growth</w:t>
            </w:r>
          </w:p>
        </w:tc>
        <w:tc>
          <w:tcPr>
            <w:tcW w:w="4675" w:type="dxa"/>
          </w:tcPr>
          <w:p>
            <w:r>
              <w:t>12.5%</w:t>
            </w:r>
          </w:p>
        </w:tc>
      </w:tr>
    </w:tbl>
    <w:p>
      <w:hyperlink r:id="rIdLink1">
        <w:r>
          <w:t>Pipeline handbook</w:t>
        </w:r>
      </w:hyperlink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Link1" Type="http://schemas.openxmlformats.org/officeDocument/2006/relationships/hyperlink" Target="https://example.com/pipeline-handbook" TargetMode="External"/></Relationships>

</file>