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pacing w:val="200"/>
          <w:sz w:val="28"/>
          <w:szCs w:val="28"/>
        </w:rPr>
        <w:t xml:space="preserve">ARCHITECTURE ANALYSIS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46"/>
          <w:szCs w:val="46"/>
        </w:rPr>
        <w:t xml:space="preserve">How the Pi Agent Implementation Works in OpenClaw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Components, tools, design decisions, and tradeoffs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of the open-source personal AI assistant framework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Prepared for Tomasz Cwik  |  February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What OpenClaw Is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OpenClaw is a self-hosted, local-first personal AI assistant built as a TypeScript monorepo (~40,000 lines, ~69 modules). It connects to 13+ messaging platforms through a single local Gateway process. The whole thing runs on your machine — no cloud dependency required.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 its core, OpenClaw is a hub-and-spoke system: one central WebSocket Gateway coordinates all messaging channels, agent sessions, tool executions, and device connections. The agent runtime is built on the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Pi Agent Core library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(@mariozechner/pi-agent-core), a minimal coding agent framework created by Mario Zechner. This is the “Pi” — the minimal agent that powers everything.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The Hub-and-Spoke Architecture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The Gateway (Hub)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Gateway is a WebSocket RPC server (default ws://127.0.0.1:18789) implemented across src/gateway/. It’s the single control plane handling: session lifecycle, access control, webhook routing from external platforms, cron scheduling, and web dashboard serving.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client — CLI, web UI, native apps, headless nodes — connects over the same WebSocket protocol, declares its role and scope at handshake, and communicates via typed RPC frames.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Channel Adapters (Spokes)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messaging platform gets an adapter that normalizes platform-specific messages into a unified envelope with body, media, sender, channelId, and timestamp fields.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Telegram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grammY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TypeScript Bot API framework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WhatsApp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Baileys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WebSocket to WhatsApp Web protocol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Discord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discord.js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Discord API client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Slack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@slack/bolt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Slack Bolt framework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Matrix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matrix-sdk-js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With native crypto for E2E encryption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adapter handles protocol normalization (stickers → images, embeds → media), access control, session routing, and bidirectional delivery with platform-specific formatting constraints.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The Pi Agent Runtime: PiEmbeddedRunner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is the heart of the system. Implemented in src/agents/piembeddedrunner.ts, it uses the Pi Agent Core library as its execution engine.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The Four-Phase Loop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Every agent turn executes exactly four phases: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Phase 1 — Session Resolution.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Load the serialized session state from disk. Sessions are append-only JSONL files at ~/.openclaw/agents/&lt;agentId&gt;/sessions/&lt;session-id&gt;.jsonl.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Phase 2 — Context Assembly.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Build a fresh system prompt by merging AGENTS.md, SOUL.md, TOOLS.md, IDENTITY.md, USER.md, MEMORY.md, daily log, conversation history, hybrid search results, and skill definitions.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Phase 3 — Streaming with Inline Tool Execution.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Stream tokens from the model, watch for tool_use blocks in real-time, intercept mid-generation, execute immediately, backfill results into the ongoing stream, model continues reasoning. No stop-regenerate 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Phase 4 — State Persistence.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Write updated session to disk: new entries, tool execution history, memory embeddings, metadata.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6"/>
              <w:bottom w:val="single" w:color="1A5276" w:sz="1"/>
              <w:right w:val="single" w:color="1A5276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Key Design Decision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tool execution happens inline with the streaming response. The runtime doesn’t wait for the model to finish, then parse tool calls. It watches the stream in real-time and intercepts mid-generation. This eliminates round-trip latency and makes the agent feel responsive. Most frameworks use a loop-and-restart pattern — Pi’s inline approach is measurably faster.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The Tool System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Pi Coding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read(path)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Read file contents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write(path, content)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or overwrite files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edit(path, range, content)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Modify existing files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exec(command)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Execute shell commands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process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Subprocess management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OpenClaw-Specific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browser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Chrome DevTools Protocol — navigation, snapshots, actions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canvas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A2UI visual workspace rendering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nodes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Device control on macOS/iOS/Android companions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cron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Schedule recurring jobs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sessions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and spawn sub-agents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message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Send replies to users across channels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memory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Write durable memories before context compaction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Memory Architecture: SQLite-Powered Hybrid RAG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entire memory system runs on a single SQLite database — no external vector DB, no cloud service.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Hybrid Search: BM25 + Vector Embeddings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Vector Search (Semantic):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Embeddings for 512–1024 token chunks stored via sqlite-vec extension. Cosine similarity finds semantically related conversations.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BM25 Search (Keyword):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SQLite FTS5 full-text search for exact token matching. Excels at error codes, function names, unique identifiers.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Hybrid Blend: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70% vector + 30% BM25 keyword score, union of both result sets, 4x candidate pool sampled then reranked.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Context Window Compaction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Detect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token count approaching context window limit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Trigger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silent agentic turn (invisible to 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Prompt model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to write important facts to durable 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Auto-summarize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older conversation history to reduce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Continue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 original turn after compaction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Memory is written before it’s discarded, so nothing important is lost. All memories stored as readable Markdown — users own their data completely.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Session Management: Lane Queues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Concurrency model: “Default Serial, Explicit Parallel.” Each session gets its own lane: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0"/>
        <w:gridCol w:w="234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Lane</w:t>
            </w:r>
          </w:p>
        </w:tc>
        <w:tc>
          <w:tcPr>
            <w:tcW w:type="dxa" w:w="5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Concurrency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Main</w:t>
            </w:r>
          </w:p>
        </w:tc>
        <w:tc>
          <w:tcPr>
            <w:tcW w:type="dxa" w:w="5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Primary chat workflow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Cron</w:t>
            </w:r>
          </w:p>
        </w:tc>
        <w:tc>
          <w:tcPr>
            <w:tcW w:type="dxa" w:w="5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Scheduled jobs (isolated: cron:&lt;job_id&gt;)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Subagent</w:t>
            </w:r>
          </w:p>
        </w:tc>
        <w:tc>
          <w:tcPr>
            <w:tcW w:type="dxa" w:w="5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Child agent spawning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Nested</w:t>
            </w:r>
          </w:p>
        </w:tc>
        <w:tc>
          <w:tcPr>
            <w:tcW w:type="dxa" w:w="5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Nested tool calls within a run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Messages within a session are processed serially — a second message waits until the first run completes. This prevents state corruption. Cross-session work runs in parallel up to the concurrency cap.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Multi-Agent Architecture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main agent runs on an expensive model (Claude Opus 4.6 at ~$15/M tokens) and spawns sub-agents on cheaper models (DeepSeek R1 at ~$2.74/M tokens). Each agent maintains isolated workspace, session history, and auth profiles.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Model failover: if the primary model fails (auth, billing, rate limit), OpenClaw tries fallback models. OpenRouter rotates through multiple provider API keys for redundancy.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6"/>
              <w:bottom w:val="single" w:color="1A5276" w:sz="1"/>
              <w:right w:val="single" w:color="1A5276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Gap: No Native Cost Controls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OpenClaw currently has zero built-in budgets, limits, or alerts. For a system that can spawn sub-agents and make unlimited API calls, this is a real gap. Third-party solutions (ClawWatcher, RelayPlane, Clawly) fill it. A KARMA framework has been proposed with monthly budgets and auto-blocking.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Monorepo Structure and Tech Stack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pnpm workspaces with ~69 modules:</w:t>
      </w:r>
    </w:p>
    <w:p>
      <w:pPr>
        <w:spacing w:after="80"/>
      </w:pPr>
    </w:p>
    <w:p>
      <w:pPr>
        <w:shd w:fill="F8F9FA" w:val="clear"/>
        <w:spacing w:after="60"/>
        <w:ind w:left="360"/>
      </w:pPr>
      <w:r>
        <w:rPr>
          <w:rFonts w:ascii="Courier New" w:cs="Courier New" w:eastAsia="Courier New" w:hAnsi="Courier New"/>
          <w:color w:val="34495E"/>
          <w:sz w:val="18"/>
          <w:szCs w:val="18"/>
        </w:rPr>
        <w:t xml:space="preserve">src/agents/        → Agent runtime (piembeddedrunner.ts)</w:t>
      </w:r>
    </w:p>
    <w:p>
      <w:pPr>
        <w:shd w:fill="F8F9FA" w:val="clear"/>
        <w:spacing w:after="60"/>
        <w:ind w:left="360"/>
      </w:pPr>
      <w:r>
        <w:rPr>
          <w:rFonts w:ascii="Courier New" w:cs="Courier New" w:eastAsia="Courier New" w:hAnsi="Courier New"/>
          <w:color w:val="34495E"/>
          <w:sz w:val="18"/>
          <w:szCs w:val="18"/>
        </w:rPr>
        <w:t xml:space="preserve">src/gateway/       → WebSocket gateway</w:t>
      </w:r>
    </w:p>
    <w:p>
      <w:pPr>
        <w:shd w:fill="F8F9FA" w:val="clear"/>
        <w:spacing w:after="60"/>
        <w:ind w:left="360"/>
      </w:pPr>
      <w:r>
        <w:rPr>
          <w:rFonts w:ascii="Courier New" w:cs="Courier New" w:eastAsia="Courier New" w:hAnsi="Courier New"/>
          <w:color w:val="34495E"/>
          <w:sz w:val="18"/>
          <w:szCs w:val="18"/>
        </w:rPr>
        <w:t xml:space="preserve">src/memory/        → Memory/RAG system</w:t>
      </w:r>
    </w:p>
    <w:p>
      <w:pPr>
        <w:shd w:fill="F8F9FA" w:val="clear"/>
        <w:spacing w:after="60"/>
        <w:ind w:left="360"/>
      </w:pPr>
      <w:r>
        <w:rPr>
          <w:rFonts w:ascii="Courier New" w:cs="Courier New" w:eastAsia="Courier New" w:hAnsi="Courier New"/>
          <w:color w:val="34495E"/>
          <w:sz w:val="18"/>
          <w:szCs w:val="18"/>
        </w:rPr>
        <w:t xml:space="preserve">src/sessions/      → Session management</w:t>
      </w:r>
    </w:p>
    <w:p>
      <w:pPr>
        <w:shd w:fill="F8F9FA" w:val="clear"/>
        <w:spacing w:after="60"/>
        <w:ind w:left="360"/>
      </w:pPr>
      <w:r>
        <w:rPr>
          <w:rFonts w:ascii="Courier New" w:cs="Courier New" w:eastAsia="Courier New" w:hAnsi="Courier New"/>
          <w:color w:val="34495E"/>
          <w:sz w:val="18"/>
          <w:szCs w:val="18"/>
        </w:rPr>
        <w:t xml:space="preserve">src/browser/       → Chrome automation</w:t>
      </w:r>
    </w:p>
    <w:p>
      <w:pPr>
        <w:shd w:fill="F8F9FA" w:val="clear"/>
        <w:spacing w:after="60"/>
        <w:ind w:left="360"/>
      </w:pPr>
      <w:r>
        <w:rPr>
          <w:rFonts w:ascii="Courier New" w:cs="Courier New" w:eastAsia="Courier New" w:hAnsi="Courier New"/>
          <w:color w:val="34495E"/>
          <w:sz w:val="18"/>
          <w:szCs w:val="18"/>
        </w:rPr>
        <w:t xml:space="preserve">src/tools/         → Tool implementations</w:t>
      </w:r>
    </w:p>
    <w:p>
      <w:pPr>
        <w:shd w:fill="F8F9FA" w:val="clear"/>
        <w:spacing w:after="60"/>
        <w:ind w:left="360"/>
      </w:pPr>
      <w:r>
        <w:rPr>
          <w:rFonts w:ascii="Courier New" w:cs="Courier New" w:eastAsia="Courier New" w:hAnsi="Courier New"/>
          <w:color w:val="34495E"/>
          <w:sz w:val="18"/>
          <w:szCs w:val="18"/>
        </w:rPr>
        <w:t xml:space="preserve">packages/          → Core library packages</w:t>
      </w:r>
    </w:p>
    <w:p>
      <w:pPr>
        <w:shd w:fill="F8F9FA" w:val="clear"/>
        <w:spacing w:after="60"/>
        <w:ind w:left="360"/>
      </w:pPr>
      <w:r>
        <w:rPr>
          <w:rFonts w:ascii="Courier New" w:cs="Courier New" w:eastAsia="Courier New" w:hAnsi="Courier New"/>
          <w:color w:val="34495E"/>
          <w:sz w:val="18"/>
          <w:szCs w:val="18"/>
        </w:rPr>
        <w:t xml:space="preserve">extensions/        → Channel integrations</w:t>
      </w:r>
    </w:p>
    <w:p>
      <w:pPr>
        <w:shd w:fill="F8F9FA" w:val="clear"/>
        <w:spacing w:after="60"/>
        <w:ind w:left="360"/>
      </w:pPr>
      <w:r>
        <w:rPr>
          <w:rFonts w:ascii="Courier New" w:cs="Courier New" w:eastAsia="Courier New" w:hAnsi="Courier New"/>
          <w:color w:val="34495E"/>
          <w:sz w:val="18"/>
          <w:szCs w:val="18"/>
        </w:rPr>
        <w:t xml:space="preserve">apps/              → Native apps (macOS, iOS, Android)</w:t>
      </w:r>
    </w:p>
    <w:p>
      <w:pPr>
        <w:shd w:fill="F8F9FA" w:val="clear"/>
        <w:spacing w:after="60"/>
        <w:ind w:left="360"/>
      </w:pPr>
      <w:r>
        <w:rPr>
          <w:rFonts w:ascii="Courier New" w:cs="Courier New" w:eastAsia="Courier New" w:hAnsi="Courier New"/>
          <w:color w:val="34495E"/>
          <w:sz w:val="18"/>
          <w:szCs w:val="18"/>
        </w:rPr>
        <w:t xml:space="preserve">skills/            → Bundled skills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Key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Agent Core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pi-agent-core v0.49.3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Execution engine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sqlite3 + sqlite-vec + FTS5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Memory, sessions, RAG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Schema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TypeBox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Wire-format validation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pnpm, esbuild, tsdown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Monorepo management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Image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sharp, @napi-rs/canvas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Image processing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Local LLM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node-llama-cpp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Optional local inference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Runtime requirement: Node.js ≥ 22.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Native Apps and Device Nodes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OpenClaw ships native apps for macOS (menu bar), iOS, and Android that connect to the Gateway as device nodes.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Discovery: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Bonjour/mDNS (_openclaw-gw._tcp) on local network, or explicit hostname/IP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Connection: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WebSocket to Gateway (same protocol as CLI and web), pairing handshake with approval codes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Capabilities: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Camera/microphone, voice wake-word detection, canvas rendering, push notifications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Remote access: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Tailscale Serve/Funnel, SSH port forwarding, or TLS reverse proxies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WebSocket Protocol: TypeBox Validation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communication uses a strictly typed protocol defined in src/gateway/protocol/schema.ts:</w:t>
      </w:r>
    </w:p>
    <w:p>
      <w:pPr>
        <w:spacing w:after="80"/>
      </w:pPr>
    </w:p>
    <w:p>
      <w:pPr>
        <w:shd w:fill="F8F9FA" w:val="clear"/>
        <w:spacing w:after="60"/>
        <w:ind w:left="360"/>
      </w:pPr>
      <w:r>
        <w:rPr>
          <w:rFonts w:ascii="Courier New" w:cs="Courier New" w:eastAsia="Courier New" w:hAnsi="Courier New"/>
          <w:color w:val="34495E"/>
          <w:sz w:val="18"/>
          <w:szCs w:val="18"/>
        </w:rPr>
        <w:t xml:space="preserve">Request:  { "type": "req", "id": 1, "method": "tool.exec", "params": {...} }</w:t>
      </w:r>
    </w:p>
    <w:p>
      <w:pPr>
        <w:shd w:fill="F8F9FA" w:val="clear"/>
        <w:spacing w:after="60"/>
        <w:ind w:left="360"/>
      </w:pPr>
      <w:r>
        <w:rPr>
          <w:rFonts w:ascii="Courier New" w:cs="Courier New" w:eastAsia="Courier New" w:hAnsi="Courier New"/>
          <w:color w:val="34495E"/>
          <w:sz w:val="18"/>
          <w:szCs w:val="18"/>
        </w:rPr>
        <w:t xml:space="preserve">Response: { "type": "res", "id": 1, "ok": true, "payload": {...} }</w:t>
      </w:r>
    </w:p>
    <w:p>
      <w:pPr>
        <w:shd w:fill="F8F9FA" w:val="clear"/>
        <w:spacing w:after="60"/>
        <w:ind w:left="360"/>
      </w:pPr>
      <w:r>
        <w:rPr>
          <w:rFonts w:ascii="Courier New" w:cs="Courier New" w:eastAsia="Courier New" w:hAnsi="Courier New"/>
          <w:color w:val="34495E"/>
          <w:sz w:val="18"/>
          <w:szCs w:val="18"/>
        </w:rPr>
        <w:t xml:space="preserve">Event:    { "type": "event", "event": "message", "payload": {...}, "seq": 1 }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TypeBox schemas (Type.Object() with additionalProperties: false) validate every frame at runtime. The same definitions generate Swift types for the macOS app — single source of truth across platforms.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Skills: Lazy Loading and Resolution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Skills resolve in priority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Workspace skills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— ~/.openclaw/workspace/skills/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Managed/local skills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— ~/.openclaw/managed-skills/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Bundled skills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— node_modules/openclaw/skills/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Extra directories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— configured via skills.load.extraDirs[]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 session start, OpenClaw snapshots eligible skills and caches the result with a version hash. Subsequent turns reuse the cached snapshot — no filesystem scan per turn. Skill metadata (file paths only) is injected into the prompt; actual SKILL.md loads on-demand via read_file.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Pros and Cons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What’s Good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Local-first, no cloud dependency.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 entire stack runs on SQLite on your machine. No vendor lock-in, no data leaving your network.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Inline tool execution.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Backfilling tool results into the streaming response without a stop-regenerate cycle reduces latency and feels responsive. Most frameworks use loop-and-restart.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Hybrid RAG on SQLite.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BM25 + vector in one database. No Pinecone, no Weaviate, no infrastructure overhead. The 70/30 blend handles both semantic and exact lookups.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Channel adapter pattern.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13+ protocols normalized into one envelope. Adding a channel means one adapter, not touching core.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TypeBox schema validation.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Single source of truth for types across TypeScript, WebSocket, and Swift. Runtime validation catches protocol errors.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Lane queue model.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Default-serial-per-session prevents corruption without sacrificing cross-session parallelism.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What’s Not Great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 native cost controls.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Zero built-in budgets or limits for a system that can spawn unlimited sub-agents and API calls.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Single-process Gateway.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One process, one point of failure. No clustering, no horizontal scaling, no failover.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Native dependency complexity.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node-pty, sqlite-vec, node-llama-cpp, sharp — all require native compilation. Fragile across platforms.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Monorepo scale.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69+ modules. Navigation isn’t always obvious despite documentation.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Context file proliferation.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Seven .md files consumed on every turn eat tokens. The distinction between some (AGENTS.md vs IDENTITY.md) is unclear.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MCP integration is limited.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ACP disables MCP for HTTP/SSE transports. Workarounds exist but integration isn’t seamless.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Bottom Line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OpenClaw’s architecture is that of a well-engineered personal infrastructure project that grew into something much bigger. The Pi agent core — minimal, stream-first, inline tool execution — is genuinely good design. The SQLite-powered hybrid RAG is pragmatic and effective. The channel adapter pattern scales well.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weaknesses are what you’d expect from a project that started as one person’s assistant: single-process, no cost controls, complex native dependencies, and a configuration surface that’s grown organically rather than being designed top-down. None of these are fatal — they’re the natural tradeoffs of a local-first system optimized for power users over enterprise deployments.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OpenClaw Architecture — Pi Agent Implementation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2026-02-14T16:01:20.380Z</dcterms:created>
  <dcterms:modified xsi:type="dcterms:W3CDTF">2026-02-14T16:01:20.380Z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