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p>
    <w:p>
      <w:pPr>
        <w:spacing w:after="80"/>
      </w:pPr>
    </w:p>
    <w:p>
      <w:pPr>
        <w:spacing w:after="80"/>
      </w:pPr>
    </w:p>
    <w:p>
      <w:pPr>
        <w:spacing w:after="80"/>
      </w:pPr>
    </w:p>
    <w:p>
      <w:pPr>
        <w:spacing w:after="80"/>
        <w:jc w:val="center"/>
      </w:pPr>
      <w:r>
        <w:rPr>
          <w:rFonts w:ascii="Arial" w:cs="Arial" w:eastAsia="Arial" w:hAnsi="Arial"/>
          <w:color w:val="7F8C8D"/>
          <w:spacing w:val="200"/>
          <w:sz w:val="28"/>
          <w:szCs w:val="28"/>
        </w:rPr>
        <w:t xml:space="preserve">ARCHITECTURE ANALYSIS</w:t>
      </w:r>
    </w:p>
    <w:p>
      <w:pPr>
        <w:spacing w:after="200"/>
        <w:jc w:val="center"/>
      </w:pPr>
      <w:r>
        <w:rPr>
          <w:rFonts w:ascii="Arial" w:cs="Arial" w:eastAsia="Arial" w:hAnsi="Arial"/>
          <w:b/>
          <w:bCs/>
          <w:color w:val="1A5276"/>
          <w:sz w:val="46"/>
          <w:szCs w:val="46"/>
        </w:rPr>
        <w:t xml:space="preserve">How the Pi Agent Implementation Works in OpenClaw</w:t>
      </w:r>
    </w:p>
    <w:p>
      <w:pPr>
        <w:spacing w:after="40"/>
        <w:jc w:val="center"/>
      </w:pPr>
      <w:r>
        <w:rPr>
          <w:rFonts w:ascii="Arial" w:cs="Arial" w:eastAsia="Arial" w:hAnsi="Arial"/>
          <w:color w:val="7F8C8D"/>
          <w:sz w:val="24"/>
          <w:szCs w:val="24"/>
        </w:rPr>
        <w:t xml:space="preserve">Components, tools, design decisions, and tradeoffs</w:t>
      </w:r>
    </w:p>
    <w:p>
      <w:pPr>
        <w:spacing w:after="400"/>
        <w:jc w:val="center"/>
      </w:pPr>
      <w:r>
        <w:rPr>
          <w:rFonts w:ascii="Arial" w:cs="Arial" w:eastAsia="Arial" w:hAnsi="Arial"/>
          <w:color w:val="7F8C8D"/>
          <w:sz w:val="24"/>
          <w:szCs w:val="24"/>
        </w:rPr>
        <w:t xml:space="preserve">of the open-source personal AI assistant framework</w:t>
      </w:r>
    </w:p>
    <w:p>
      <w:pPr>
        <w:spacing w:after="80"/>
      </w:pPr>
    </w:p>
    <w:p>
      <w:pPr>
        <w:jc w:val="center"/>
      </w:pPr>
      <w:r>
        <w:rPr>
          <w:rFonts w:ascii="Arial" w:cs="Arial" w:eastAsia="Arial" w:hAnsi="Arial"/>
          <w:color w:val="7F8C8D"/>
          <w:sz w:val="22"/>
          <w:szCs w:val="22"/>
        </w:rPr>
        <w:t xml:space="preserve">Prepared for Tomasz Cwik  |  February 2026</w:t>
      </w:r>
    </w:p>
    <w:p>
      <w:r>
        <w:br w:type="page"/>
      </w:r>
    </w:p>
    <w:p>
      <w:pPr>
        <w:pStyle w:val="Heading1"/>
      </w:pPr>
      <w:r>
        <w:rPr>
          <w:rFonts w:ascii="Arial" w:cs="Arial" w:eastAsia="Arial" w:hAnsi="Arial"/>
          <w:b/>
          <w:bCs/>
        </w:rPr>
        <w:t xml:space="preserve">Decision-Making Flowchart: How OpenClaw Processes a Request</w:t>
      </w:r>
    </w:p>
    <w:p>
      <w:pPr>
        <w:spacing w:after="160"/>
      </w:pPr>
      <w:r>
        <w:rPr>
          <w:rFonts w:ascii="Arial" w:cs="Arial" w:eastAsia="Arial" w:hAnsi="Arial"/>
          <w:color w:val="2C3E50"/>
          <w:sz w:val="22"/>
          <w:szCs w:val="22"/>
        </w:rPr>
        <w:t xml:space="preserve">The flowchart below traces every decision point from the moment a message arrives on any messaging platform to the final response delivery. It is divided into two halves.</w:t>
      </w:r>
    </w:p>
    <w:p>
      <w:pPr>
        <w:spacing w:after="160"/>
      </w:pPr>
      <w:r>
        <w:rPr>
          <w:rFonts w:ascii="Arial" w:cs="Arial" w:eastAsia="Arial" w:hAnsi="Arial"/>
          <w:b/>
          <w:bCs/>
          <w:color w:val="2C3E50"/>
          <w:sz w:val="22"/>
          <w:szCs w:val="22"/>
        </w:rPr>
        <w:t xml:space="preserve">The upper half is the Gateway’s routing logic: </w:t>
      </w:r>
      <w:r>
        <w:rPr>
          <w:rFonts w:ascii="Arial" w:cs="Arial" w:eastAsia="Arial" w:hAnsi="Arial"/>
          <w:color w:val="2C3E50"/>
          <w:sz w:val="22"/>
          <w:szCs w:val="22"/>
        </w:rPr>
        <w:t xml:space="preserve">access control (is the sender known? is access allowed?), group chat mention gating, session resolution, and lane queuing. Three paths lead to rejection: unknown senders hit a pairing gate, blocked senders are denied, and unmentioned messages in mention-required groups are ignored.</w:t>
      </w:r>
    </w:p>
    <w:p>
      <w:pPr>
        <w:spacing w:after="160"/>
      </w:pPr>
      <w:r>
        <w:rPr>
          <w:rFonts w:ascii="Arial" w:cs="Arial" w:eastAsia="Arial" w:hAnsi="Arial"/>
          <w:b/>
          <w:bCs/>
          <w:color w:val="2C3E50"/>
          <w:sz w:val="22"/>
          <w:szCs w:val="22"/>
        </w:rPr>
        <w:t xml:space="preserve">The lower half is the agent runtime loop inside piembeddedrunner.ts: </w:t>
      </w:r>
      <w:r>
        <w:rPr>
          <w:rFonts w:ascii="Arial" w:cs="Arial" w:eastAsia="Arial" w:hAnsi="Arial"/>
          <w:color w:val="2C3E50"/>
          <w:sz w:val="22"/>
          <w:szCs w:val="22"/>
        </w:rPr>
        <w:t xml:space="preserve">the four phases (load session state from JSONL, assemble context from .md files + memory search, stream model response, persist state) with the inline tool execution cycle nested inside Phase 3.</w:t>
      </w:r>
    </w:p>
    <w:p>
      <w:pPr>
        <w:spacing w:after="160"/>
      </w:pPr>
      <w:r>
        <w:rPr>
          <w:rFonts w:ascii="Arial" w:cs="Arial" w:eastAsia="Arial" w:hAnsi="Arial"/>
          <w:color w:val="2C3E50"/>
          <w:sz w:val="22"/>
          <w:szCs w:val="22"/>
        </w:rPr>
        <w:t xml:space="preserve">The tool execution cycle is the critical architectural feature. When a tool call is detected in the model’s token stream, the runtime checks the seven-layer tool policy. If allowed, it executes in either a Docker container or on the host OS, then backfills the result directly into the ongoing stream. The model continues generating from where it left off — no stop-regenerate cycle.</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A5276" w:sz="1"/>
              <w:left w:val="single" w:color="1A5276" w:sz="6"/>
              <w:bottom w:val="single" w:color="1A5276" w:sz="1"/>
              <w:right w:val="single" w:color="1A5276" w:sz="1"/>
            </w:tcBorders>
            <w:shd w:fill="D6EAF8" w:val="clear"/>
            <w:tcMar>
              <w:top w:type="dxa" w:w="120"/>
              <w:left w:type="dxa" w:w="200"/>
              <w:bottom w:type="dxa" w:w="120"/>
              <w:right w:type="dxa" w:w="200"/>
            </w:tcMar>
          </w:tcPr>
          <w:p>
            <w:pPr>
              <w:spacing w:after="80"/>
            </w:pPr>
            <w:r>
              <w:rPr>
                <w:rFonts w:ascii="Arial" w:cs="Arial" w:eastAsia="Arial" w:hAnsi="Arial"/>
                <w:b/>
                <w:bCs/>
                <w:color w:val="1A5276"/>
                <w:sz w:val="22"/>
                <w:szCs w:val="22"/>
              </w:rPr>
              <w:t xml:space="preserve">How to Read This Diagram</w:t>
            </w:r>
          </w:p>
          <w:p>
            <w:r>
              <w:rPr>
                <w:rFonts w:ascii="Arial" w:cs="Arial" w:eastAsia="Arial" w:hAnsi="Arial"/>
                <w:color w:val="2C3E50"/>
                <w:sz w:val="20"/>
                <w:szCs w:val="20"/>
              </w:rPr>
              <w:t xml:space="preserve">Follow the arrows from top to bottom. Diamond shapes are decision points. Light-red nodes are rejection endpoints. Light-purple is the streaming loop. Light-yellow is the tool backfill. Green is successful delivery. The loop between Phase 3 and Backfill Result is where multiple tool calls can execute within a single response.</w:t>
            </w:r>
          </w:p>
        </w:tc>
      </w:tr>
    </w:tbl>
    <w:p>
      <w:pPr>
        <w:spacing w:after="80"/>
      </w:pPr>
    </w:p>
    <w:p>
      <w:pPr>
        <w:spacing w:after="160"/>
      </w:pPr>
      <w:r>
        <w:rPr>
          <w:rFonts w:ascii="Arial" w:cs="Arial" w:eastAsia="Arial" w:hAnsi="Arial"/>
          <w:color w:val="2C3E50"/>
          <w:sz w:val="22"/>
          <w:szCs w:val="22"/>
        </w:rPr>
        <w:t xml:space="preserve">The rendered flowchart is available as a Mermaid file (OpenClaw_Decision_Flowchart.mermaid) and in the companion HTML file (OpenClaw_Diagrams.html) for interactive viewing.</w:t>
      </w:r>
    </w:p>
    <w:p>
      <w:r>
        <w:br w:type="page"/>
      </w:r>
    </w:p>
    <w:p>
      <w:pPr>
        <w:pStyle w:val="Heading1"/>
      </w:pPr>
      <w:r>
        <w:rPr>
          <w:rFonts w:ascii="Arial" w:cs="Arial" w:eastAsia="Arial" w:hAnsi="Arial"/>
          <w:b/>
          <w:bCs/>
        </w:rPr>
        <w:t xml:space="preserve">Waterfall Sequence Diagram: Request Flow Over Time</w:t>
      </w:r>
    </w:p>
    <w:p>
      <w:pPr>
        <w:spacing w:after="160"/>
      </w:pPr>
      <w:r>
        <w:rPr>
          <w:rFonts w:ascii="Arial" w:cs="Arial" w:eastAsia="Arial" w:hAnsi="Arial"/>
          <w:color w:val="2C3E50"/>
          <w:sz w:val="22"/>
          <w:szCs w:val="22"/>
        </w:rPr>
        <w:t xml:space="preserve">The sequence diagram shows the temporal flow of a single user request across all ten system components, reading left to right: User, Channel Adapter, Gateway, Lane Queue, PiEmbeddedRunner, Context Assembler, SQLite Memory, LLM Provider, Tool Policy, and Sandbox.</w:t>
      </w:r>
    </w:p>
    <w:p>
      <w:pPr>
        <w:spacing w:after="80"/>
      </w:pPr>
    </w:p>
    <w:p>
      <w:pPr>
        <w:pStyle w:val="Heading3"/>
      </w:pPr>
      <w:r>
        <w:rPr>
          <w:rFonts w:ascii="Arial" w:cs="Arial" w:eastAsia="Arial" w:hAnsi="Arial"/>
          <w:b/>
          <w:bCs/>
        </w:rPr>
        <w:t xml:space="preserve">Key Regions</w:t>
      </w:r>
    </w:p>
    <w:p>
      <w:pPr>
        <w:pStyle w:val="ListParagraph"/>
        <w:numPr>
          <w:ilvl w:val="0"/>
          <w:numId w:val="2"/>
        </w:numPr>
        <w:spacing w:after="80"/>
      </w:pPr>
      <w:r>
        <w:rPr>
          <w:rFonts w:ascii="Arial" w:cs="Arial" w:eastAsia="Arial" w:hAnsi="Arial"/>
          <w:b/>
          <w:bCs/>
          <w:color w:val="2C3E50"/>
          <w:sz w:val="22"/>
          <w:szCs w:val="22"/>
        </w:rPr>
        <w:t xml:space="preserve">Steps 1–9 (Pre-Runtime): </w:t>
      </w:r>
      <w:r>
        <w:rPr>
          <w:rFonts w:ascii="Arial" w:cs="Arial" w:eastAsia="Arial" w:hAnsi="Arial"/>
          <w:color w:val="2C3E50"/>
          <w:sz w:val="22"/>
          <w:szCs w:val="22"/>
        </w:rPr>
        <w:t xml:space="preserve">Message normalization, access control, session resolution, and lane queuing. The Gateway checks pairing and DM policy, resolves the session key, and enqueues the request. The lane queue enforces default-serial ordering — if an active run exists on this session, the message waits.</w:t>
      </w:r>
    </w:p>
    <w:p>
      <w:pPr>
        <w:pStyle w:val="ListParagraph"/>
        <w:numPr>
          <w:ilvl w:val="0"/>
          <w:numId w:val="2"/>
        </w:numPr>
        <w:spacing w:after="80"/>
      </w:pPr>
      <w:r>
        <w:rPr>
          <w:rFonts w:ascii="Arial" w:cs="Arial" w:eastAsia="Arial" w:hAnsi="Arial"/>
          <w:b/>
          <w:bCs/>
          <w:color w:val="2C3E50"/>
          <w:sz w:val="22"/>
          <w:szCs w:val="22"/>
        </w:rPr>
        <w:t xml:space="preserve">Steps 10–20 (Agent Runtime Loop): </w:t>
      </w:r>
      <w:r>
        <w:rPr>
          <w:rFonts w:ascii="Arial" w:cs="Arial" w:eastAsia="Arial" w:hAnsi="Arial"/>
          <w:color w:val="2C3E50"/>
          <w:sz w:val="22"/>
          <w:szCs w:val="22"/>
        </w:rPr>
        <w:t xml:space="preserve">The blue-shaded rectangle. Phase 1 loads session state from JSONL. Phase 2 assembles the system prompt: reads SOUL.md + AGENTS.md + TOOLS.md, runs a hybrid BM25+vector search against SQLite memory (70/30 blend), merges conversation history and skill metadata, and delivers the compiled prompt to PiEmbeddedRunner.</w:t>
      </w:r>
    </w:p>
    <w:p>
      <w:pPr>
        <w:pStyle w:val="ListParagraph"/>
        <w:numPr>
          <w:ilvl w:val="0"/>
          <w:numId w:val="2"/>
        </w:numPr>
        <w:spacing w:after="80"/>
      </w:pPr>
      <w:r>
        <w:rPr>
          <w:rFonts w:ascii="Arial" w:cs="Arial" w:eastAsia="Arial" w:hAnsi="Arial"/>
          <w:b/>
          <w:bCs/>
          <w:color w:val="2C3E50"/>
          <w:sz w:val="22"/>
          <w:szCs w:val="22"/>
        </w:rPr>
        <w:t xml:space="preserve">Steps 20–28 (Streaming + Tool Loop): </w:t>
      </w:r>
      <w:r>
        <w:rPr>
          <w:rFonts w:ascii="Arial" w:cs="Arial" w:eastAsia="Arial" w:hAnsi="Arial"/>
          <w:color w:val="2C3E50"/>
          <w:sz w:val="22"/>
          <w:szCs w:val="22"/>
        </w:rPr>
        <w:t xml:space="preserve">Phase 3 streams the model’s response. Tokens flow in real-time through the Channel Adapter back to the user. When a tool call is detected mid-stream, the runtime checks tool policy, executes in Docker or on host, and backfills the result. The model continues generating. This loop can repeat for multiple tool calls within a single response.</w:t>
      </w:r>
    </w:p>
    <w:p>
      <w:pPr>
        <w:pStyle w:val="ListParagraph"/>
        <w:numPr>
          <w:ilvl w:val="0"/>
          <w:numId w:val="2"/>
        </w:numPr>
        <w:spacing w:after="80"/>
      </w:pPr>
      <w:r>
        <w:rPr>
          <w:rFonts w:ascii="Arial" w:cs="Arial" w:eastAsia="Arial" w:hAnsi="Arial"/>
          <w:b/>
          <w:bCs/>
          <w:color w:val="2C3E50"/>
          <w:sz w:val="22"/>
          <w:szCs w:val="22"/>
        </w:rPr>
        <w:t xml:space="preserve">Steps 28–32 (Persist + Deliver): </w:t>
      </w:r>
      <w:r>
        <w:rPr>
          <w:rFonts w:ascii="Arial" w:cs="Arial" w:eastAsia="Arial" w:hAnsi="Arial"/>
          <w:color w:val="2C3E50"/>
          <w:sz w:val="22"/>
          <w:szCs w:val="22"/>
        </w:rPr>
        <w:t xml:space="preserve">Phase 4 writes new memories and embeddings to SQLite, appends the session to JSONL, signals run complete, releases the lane, and delivers the final response.</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A5276" w:sz="1"/>
              <w:left w:val="single" w:color="1A5276" w:sz="6"/>
              <w:bottom w:val="single" w:color="1A5276" w:sz="1"/>
              <w:right w:val="single" w:color="1A5276" w:sz="1"/>
            </w:tcBorders>
            <w:shd w:fill="D6EAF8" w:val="clear"/>
            <w:tcMar>
              <w:top w:type="dxa" w:w="120"/>
              <w:left w:type="dxa" w:w="200"/>
              <w:bottom w:type="dxa" w:w="120"/>
              <w:right w:type="dxa" w:w="200"/>
            </w:tcMar>
          </w:tcPr>
          <w:p>
            <w:pPr>
              <w:spacing w:after="80"/>
            </w:pPr>
            <w:r>
              <w:rPr>
                <w:rFonts w:ascii="Arial" w:cs="Arial" w:eastAsia="Arial" w:hAnsi="Arial"/>
                <w:b/>
                <w:bCs/>
                <w:color w:val="1A5276"/>
                <w:sz w:val="22"/>
                <w:szCs w:val="22"/>
              </w:rPr>
              <w:t xml:space="preserve">What Makes This Waterfall Different</w:t>
            </w:r>
          </w:p>
          <w:p>
            <w:r>
              <w:rPr>
                <w:rFonts w:ascii="Arial" w:cs="Arial" w:eastAsia="Arial" w:hAnsi="Arial"/>
                <w:color w:val="2C3E50"/>
                <w:sz w:val="20"/>
                <w:szCs w:val="20"/>
              </w:rPr>
              <w:t xml:space="preserve">In most agent frameworks, tool execution is a separate round-trip: the model stops, the tool runs, and the model restarts from scratch. In OpenClaw’s waterfall, tool execution happens inside the streaming loop (the “loop” block in the diagram). The numbered arrows show that tokens continue flowing to the user before and after tool calls. This inline execution is the key performance advantage of the Pi agent architecture.</w:t>
            </w:r>
          </w:p>
        </w:tc>
      </w:tr>
    </w:tbl>
    <w:p>
      <w:pPr>
        <w:spacing w:after="80"/>
      </w:pPr>
    </w:p>
    <w:p>
      <w:pPr>
        <w:spacing w:after="160"/>
      </w:pPr>
      <w:r>
        <w:rPr>
          <w:rFonts w:ascii="Arial" w:cs="Arial" w:eastAsia="Arial" w:hAnsi="Arial"/>
          <w:color w:val="2C3E50"/>
          <w:sz w:val="22"/>
          <w:szCs w:val="22"/>
        </w:rPr>
        <w:t xml:space="preserve">The rendered sequence diagram is available as a Mermaid file (OpenClaw_Waterfall_Sequence.mermaid) and in the companion HTML file (OpenClaw_Diagrams.html) for interactive viewing.</w:t>
      </w:r>
    </w:p>
    <w:p>
      <w:r>
        <w:br w:type="page"/>
      </w:r>
    </w:p>
    <w:p>
      <w:pPr>
        <w:pStyle w:val="Heading1"/>
      </w:pPr>
      <w:r>
        <w:rPr>
          <w:rFonts w:ascii="Arial" w:cs="Arial" w:eastAsia="Arial" w:hAnsi="Arial"/>
          <w:b/>
          <w:bCs/>
        </w:rPr>
        <w:t xml:space="preserve">What OpenClaw Is</w:t>
      </w:r>
    </w:p>
    <w:p>
      <w:pPr>
        <w:spacing w:after="160"/>
      </w:pPr>
      <w:r>
        <w:rPr>
          <w:rFonts w:ascii="Arial" w:cs="Arial" w:eastAsia="Arial" w:hAnsi="Arial"/>
          <w:color w:val="2C3E50"/>
          <w:sz w:val="22"/>
          <w:szCs w:val="22"/>
        </w:rPr>
        <w:t xml:space="preserve">OpenClaw is a self-hosted, local-first personal AI assistant built as a TypeScript monorepo (~40,000 lines, ~69 modules). It connects to 13+ messaging platforms through a single local Gateway process. The whole thing runs on your machine — no cloud dependency required.</w:t>
      </w:r>
    </w:p>
    <w:p>
      <w:pPr>
        <w:spacing w:after="160"/>
      </w:pPr>
      <w:r>
        <w:rPr>
          <w:rFonts w:ascii="Arial" w:cs="Arial" w:eastAsia="Arial" w:hAnsi="Arial"/>
          <w:color w:val="2C3E50"/>
          <w:sz w:val="22"/>
          <w:szCs w:val="22"/>
        </w:rPr>
        <w:t xml:space="preserve">At its core, OpenClaw is a hub-and-spoke system: one central WebSocket Gateway coordinates all messaging channels, agent sessions, tool executions, and device connections. The agent runtime is built on the </w:t>
      </w:r>
      <w:r>
        <w:rPr>
          <w:rFonts w:ascii="Arial" w:cs="Arial" w:eastAsia="Arial" w:hAnsi="Arial"/>
          <w:b/>
          <w:bCs/>
          <w:color w:val="2C3E50"/>
          <w:sz w:val="22"/>
          <w:szCs w:val="22"/>
        </w:rPr>
        <w:t xml:space="preserve">Pi Agent Core library</w:t>
      </w:r>
      <w:r>
        <w:rPr>
          <w:rFonts w:ascii="Arial" w:cs="Arial" w:eastAsia="Arial" w:hAnsi="Arial"/>
          <w:color w:val="2C3E50"/>
          <w:sz w:val="22"/>
          <w:szCs w:val="22"/>
        </w:rPr>
        <w:t xml:space="preserve"> (@mariozechner/pi-agent-core), a minimal coding agent framework created by Mario Zechner. This is the “Pi” — the minimal agent that powers everything.</w:t>
      </w:r>
    </w:p>
    <w:p>
      <w:r>
        <w:br w:type="page"/>
      </w:r>
    </w:p>
    <w:p>
      <w:pPr>
        <w:pStyle w:val="Heading1"/>
      </w:pPr>
      <w:r>
        <w:rPr>
          <w:rFonts w:ascii="Arial" w:cs="Arial" w:eastAsia="Arial" w:hAnsi="Arial"/>
          <w:b/>
          <w:bCs/>
        </w:rPr>
        <w:t xml:space="preserve">1. The Hub-and-Spoke Architecture</w:t>
      </w:r>
    </w:p>
    <w:p>
      <w:pPr>
        <w:pStyle w:val="Heading2"/>
      </w:pPr>
      <w:r>
        <w:rPr>
          <w:rFonts w:ascii="Arial" w:cs="Arial" w:eastAsia="Arial" w:hAnsi="Arial"/>
          <w:b/>
          <w:bCs/>
        </w:rPr>
        <w:t xml:space="preserve">The Gateway (Hub)</w:t>
      </w:r>
    </w:p>
    <w:p>
      <w:pPr>
        <w:spacing w:after="160"/>
      </w:pPr>
      <w:r>
        <w:rPr>
          <w:rFonts w:ascii="Arial" w:cs="Arial" w:eastAsia="Arial" w:hAnsi="Arial"/>
          <w:color w:val="2C3E50"/>
          <w:sz w:val="22"/>
          <w:szCs w:val="22"/>
        </w:rPr>
        <w:t xml:space="preserve">The Gateway is a WebSocket RPC server (default ws://127.0.0.1:18789) implemented across src/gateway/. It’s the single control plane handling: session lifecycle, access control, webhook routing from external platforms, cron scheduling, and web dashboard serving.</w:t>
      </w:r>
    </w:p>
    <w:p>
      <w:pPr>
        <w:spacing w:after="160"/>
      </w:pPr>
      <w:r>
        <w:rPr>
          <w:rFonts w:ascii="Arial" w:cs="Arial" w:eastAsia="Arial" w:hAnsi="Arial"/>
          <w:color w:val="2C3E50"/>
          <w:sz w:val="22"/>
          <w:szCs w:val="22"/>
        </w:rPr>
        <w:t xml:space="preserve">Every client — CLI, web UI, native apps, headless nodes — connects over the same WebSocket protocol, declares its role and scope at handshake, and communicates via typed RPC frames.</w:t>
      </w:r>
    </w:p>
    <w:p>
      <w:pPr>
        <w:pStyle w:val="Heading2"/>
      </w:pPr>
      <w:r>
        <w:rPr>
          <w:rFonts w:ascii="Arial" w:cs="Arial" w:eastAsia="Arial" w:hAnsi="Arial"/>
          <w:b/>
          <w:bCs/>
        </w:rPr>
        <w:t xml:space="preserve">Channel Adapters (Spokes)</w:t>
      </w:r>
    </w:p>
    <w:p>
      <w:pPr>
        <w:spacing w:after="160"/>
      </w:pPr>
      <w:r>
        <w:rPr>
          <w:rFonts w:ascii="Arial" w:cs="Arial" w:eastAsia="Arial" w:hAnsi="Arial"/>
          <w:color w:val="2C3E50"/>
          <w:sz w:val="22"/>
          <w:szCs w:val="22"/>
        </w:rPr>
        <w:t xml:space="preserve">Each messaging platform gets an adapter that normalizes platform-specific messages into a unified envelope with body, media, sender, channelId, and timestamp fields.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680"/>
        <w:gridCol w:w="4680"/>
      </w:tblGrid>
      <w:tr>
        <w:tc>
          <w:tcPr>
            <w:tcW w:type="dxa" w:w="2000"/>
            <w:tcBorders>
              <w:top w:val="single" w:color="BDC3C7" w:sz="1"/>
              <w:left w:val="single" w:color="BDC3C7" w:sz="1"/>
              <w:bottom w:val="single" w:color="BDC3C7" w:sz="1"/>
              <w:right w:val="single" w:color="BDC3C7"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Channel</w:t>
            </w:r>
          </w:p>
        </w:tc>
        <w:tc>
          <w:tcPr>
            <w:tcW w:type="dxa" w:w="2680"/>
            <w:tcBorders>
              <w:top w:val="single" w:color="BDC3C7" w:sz="1"/>
              <w:left w:val="single" w:color="BDC3C7" w:sz="1"/>
              <w:bottom w:val="single" w:color="BDC3C7" w:sz="1"/>
              <w:right w:val="single" w:color="BDC3C7"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Library</w:t>
            </w:r>
          </w:p>
        </w:tc>
        <w:tc>
          <w:tcPr>
            <w:tcW w:type="dxa" w:w="4680"/>
            <w:tcBorders>
              <w:top w:val="single" w:color="BDC3C7" w:sz="1"/>
              <w:left w:val="single" w:color="BDC3C7" w:sz="1"/>
              <w:bottom w:val="single" w:color="BDC3C7" w:sz="1"/>
              <w:right w:val="single" w:color="BDC3C7"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Notes</w:t>
            </w:r>
          </w:p>
        </w:tc>
      </w:tr>
      <w:tr>
        <w:tc>
          <w:tcPr>
            <w:tcW w:type="dxa" w:w="20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b w:val="false"/>
                <w:bCs w:val="false"/>
                <w:color w:val="2C3E50"/>
                <w:sz w:val="20"/>
                <w:szCs w:val="20"/>
              </w:rPr>
              <w:t xml:space="preserve">Telegram</w:t>
            </w:r>
          </w:p>
        </w:tc>
        <w:tc>
          <w:tcPr>
            <w:tcW w:type="dxa" w:w="268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b w:val="false"/>
                <w:bCs w:val="false"/>
                <w:color w:val="2C3E50"/>
                <w:sz w:val="20"/>
                <w:szCs w:val="20"/>
              </w:rPr>
              <w:t xml:space="preserve">grammY</w:t>
            </w:r>
          </w:p>
        </w:tc>
        <w:tc>
          <w:tcPr>
            <w:tcW w:type="dxa" w:w="468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b w:val="false"/>
                <w:bCs w:val="false"/>
                <w:color w:val="2C3E50"/>
                <w:sz w:val="20"/>
                <w:szCs w:val="20"/>
              </w:rPr>
              <w:t xml:space="preserve">TypeScript Bot API framework</w:t>
            </w:r>
          </w:p>
        </w:tc>
      </w:tr>
      <w:tr>
        <w:tc>
          <w:tcPr>
            <w:tcW w:type="dxa" w:w="20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b w:val="false"/>
                <w:bCs w:val="false"/>
                <w:color w:val="2C3E50"/>
                <w:sz w:val="20"/>
                <w:szCs w:val="20"/>
              </w:rPr>
              <w:t xml:space="preserve">WhatsApp</w:t>
            </w:r>
          </w:p>
        </w:tc>
        <w:tc>
          <w:tcPr>
            <w:tcW w:type="dxa" w:w="268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b w:val="false"/>
                <w:bCs w:val="false"/>
                <w:color w:val="2C3E50"/>
                <w:sz w:val="20"/>
                <w:szCs w:val="20"/>
              </w:rPr>
              <w:t xml:space="preserve">Baileys</w:t>
            </w:r>
          </w:p>
        </w:tc>
        <w:tc>
          <w:tcPr>
            <w:tcW w:type="dxa" w:w="468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b w:val="false"/>
                <w:bCs w:val="false"/>
                <w:color w:val="2C3E50"/>
                <w:sz w:val="20"/>
                <w:szCs w:val="20"/>
              </w:rPr>
              <w:t xml:space="preserve">WebSocket to WhatsApp Web protocol</w:t>
            </w:r>
          </w:p>
        </w:tc>
      </w:tr>
      <w:tr>
        <w:tc>
          <w:tcPr>
            <w:tcW w:type="dxa" w:w="20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b w:val="false"/>
                <w:bCs w:val="false"/>
                <w:color w:val="2C3E50"/>
                <w:sz w:val="20"/>
                <w:szCs w:val="20"/>
              </w:rPr>
              <w:t xml:space="preserve">Discord</w:t>
            </w:r>
          </w:p>
        </w:tc>
        <w:tc>
          <w:tcPr>
            <w:tcW w:type="dxa" w:w="268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b w:val="false"/>
                <w:bCs w:val="false"/>
                <w:color w:val="2C3E50"/>
                <w:sz w:val="20"/>
                <w:szCs w:val="20"/>
              </w:rPr>
              <w:t xml:space="preserve">discord.js</w:t>
            </w:r>
          </w:p>
        </w:tc>
        <w:tc>
          <w:tcPr>
            <w:tcW w:type="dxa" w:w="468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b w:val="false"/>
                <w:bCs w:val="false"/>
                <w:color w:val="2C3E50"/>
                <w:sz w:val="20"/>
                <w:szCs w:val="20"/>
              </w:rPr>
              <w:t xml:space="preserve">Full Discord API client</w:t>
            </w:r>
          </w:p>
        </w:tc>
      </w:tr>
      <w:tr>
        <w:tc>
          <w:tcPr>
            <w:tcW w:type="dxa" w:w="20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b w:val="false"/>
                <w:bCs w:val="false"/>
                <w:color w:val="2C3E50"/>
                <w:sz w:val="20"/>
                <w:szCs w:val="20"/>
              </w:rPr>
              <w:t xml:space="preserve">Slack</w:t>
            </w:r>
          </w:p>
        </w:tc>
        <w:tc>
          <w:tcPr>
            <w:tcW w:type="dxa" w:w="268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b w:val="false"/>
                <w:bCs w:val="false"/>
                <w:color w:val="2C3E50"/>
                <w:sz w:val="20"/>
                <w:szCs w:val="20"/>
              </w:rPr>
              <w:t xml:space="preserve">@slack/bolt</w:t>
            </w:r>
          </w:p>
        </w:tc>
        <w:tc>
          <w:tcPr>
            <w:tcW w:type="dxa" w:w="468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b w:val="false"/>
                <w:bCs w:val="false"/>
                <w:color w:val="2C3E50"/>
                <w:sz w:val="20"/>
                <w:szCs w:val="20"/>
              </w:rPr>
              <w:t xml:space="preserve">Slack Bolt framework</w:t>
            </w:r>
          </w:p>
        </w:tc>
      </w:tr>
      <w:tr>
        <w:tc>
          <w:tcPr>
            <w:tcW w:type="dxa" w:w="20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b w:val="false"/>
                <w:bCs w:val="false"/>
                <w:color w:val="2C3E50"/>
                <w:sz w:val="20"/>
                <w:szCs w:val="20"/>
              </w:rPr>
              <w:t xml:space="preserve">Matrix</w:t>
            </w:r>
          </w:p>
        </w:tc>
        <w:tc>
          <w:tcPr>
            <w:tcW w:type="dxa" w:w="268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b w:val="false"/>
                <w:bCs w:val="false"/>
                <w:color w:val="2C3E50"/>
                <w:sz w:val="20"/>
                <w:szCs w:val="20"/>
              </w:rPr>
              <w:t xml:space="preserve">matrix-sdk-js</w:t>
            </w:r>
          </w:p>
        </w:tc>
        <w:tc>
          <w:tcPr>
            <w:tcW w:type="dxa" w:w="468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b w:val="false"/>
                <w:bCs w:val="false"/>
                <w:color w:val="2C3E50"/>
                <w:sz w:val="20"/>
                <w:szCs w:val="20"/>
              </w:rPr>
              <w:t xml:space="preserve">With native crypto for E2E encryption</w:t>
            </w:r>
          </w:p>
        </w:tc>
      </w:tr>
    </w:tbl>
    <w:p>
      <w:pPr>
        <w:spacing w:after="80"/>
      </w:pPr>
    </w:p>
    <w:p>
      <w:pPr>
        <w:spacing w:after="160"/>
      </w:pPr>
      <w:r>
        <w:rPr>
          <w:rFonts w:ascii="Arial" w:cs="Arial" w:eastAsia="Arial" w:hAnsi="Arial"/>
          <w:color w:val="2C3E50"/>
          <w:sz w:val="22"/>
          <w:szCs w:val="22"/>
        </w:rPr>
        <w:t xml:space="preserve">Each adapter handles protocol normalization (stickers → images, embeds → media), access control, session routing, and bidirectional delivery with platform-specific formatting constraints.</w:t>
      </w:r>
    </w:p>
    <w:p>
      <w:r>
        <w:br w:type="page"/>
      </w:r>
    </w:p>
    <w:p>
      <w:pPr>
        <w:pStyle w:val="Heading1"/>
      </w:pPr>
      <w:r>
        <w:rPr>
          <w:rFonts w:ascii="Arial" w:cs="Arial" w:eastAsia="Arial" w:hAnsi="Arial"/>
          <w:b/>
          <w:bCs/>
        </w:rPr>
        <w:t xml:space="preserve">2. The Pi Agent Runtime: PiEmbeddedRunner</w:t>
      </w:r>
    </w:p>
    <w:p>
      <w:pPr>
        <w:spacing w:after="160"/>
      </w:pPr>
      <w:r>
        <w:rPr>
          <w:rFonts w:ascii="Arial" w:cs="Arial" w:eastAsia="Arial" w:hAnsi="Arial"/>
          <w:color w:val="2C3E50"/>
          <w:sz w:val="22"/>
          <w:szCs w:val="22"/>
        </w:rPr>
        <w:t xml:space="preserve">This is the heart of the system. Implemented in src/agents/piembeddedrunner.ts, it uses the Pi Agent Core library as its execution engine.</w:t>
      </w:r>
    </w:p>
    <w:p>
      <w:pPr>
        <w:pStyle w:val="Heading2"/>
      </w:pPr>
      <w:r>
        <w:rPr>
          <w:rFonts w:ascii="Arial" w:cs="Arial" w:eastAsia="Arial" w:hAnsi="Arial"/>
          <w:b/>
          <w:bCs/>
        </w:rPr>
        <w:t xml:space="preserve">The Four-Phase Loop</w:t>
      </w:r>
    </w:p>
    <w:p>
      <w:pPr>
        <w:spacing w:after="160"/>
      </w:pPr>
      <w:r>
        <w:rPr>
          <w:rFonts w:ascii="Arial" w:cs="Arial" w:eastAsia="Arial" w:hAnsi="Arial"/>
          <w:b/>
          <w:bCs/>
          <w:color w:val="2C3E50"/>
          <w:sz w:val="22"/>
          <w:szCs w:val="22"/>
        </w:rPr>
        <w:t xml:space="preserve">Every agent turn executes exactly four phases:</w:t>
      </w:r>
    </w:p>
    <w:p>
      <w:pPr>
        <w:spacing w:after="80"/>
      </w:pPr>
    </w:p>
    <w:p>
      <w:pPr>
        <w:pStyle w:val="ListParagraph"/>
        <w:numPr>
          <w:ilvl w:val="0"/>
          <w:numId w:val="3"/>
        </w:numPr>
        <w:spacing w:after="80"/>
      </w:pPr>
      <w:r>
        <w:rPr>
          <w:rFonts w:ascii="Arial" w:cs="Arial" w:eastAsia="Arial" w:hAnsi="Arial"/>
          <w:b/>
          <w:bCs/>
          <w:color w:val="2C3E50"/>
          <w:sz w:val="22"/>
          <w:szCs w:val="22"/>
        </w:rPr>
        <w:t xml:space="preserve">Phase 1 — Session Resolution. </w:t>
      </w:r>
      <w:r>
        <w:rPr>
          <w:rFonts w:ascii="Arial" w:cs="Arial" w:eastAsia="Arial" w:hAnsi="Arial"/>
          <w:color w:val="2C3E50"/>
          <w:sz w:val="22"/>
          <w:szCs w:val="22"/>
        </w:rPr>
        <w:t xml:space="preserve">Load the serialized session state from disk. Sessions are append-only JSONL files at ~/.openclaw/agents/&lt;agentId&gt;/sessions/&lt;session-id&gt;.jsonl.</w:t>
      </w:r>
    </w:p>
    <w:p>
      <w:pPr>
        <w:pStyle w:val="ListParagraph"/>
        <w:numPr>
          <w:ilvl w:val="0"/>
          <w:numId w:val="3"/>
        </w:numPr>
        <w:spacing w:after="80"/>
      </w:pPr>
      <w:r>
        <w:rPr>
          <w:rFonts w:ascii="Arial" w:cs="Arial" w:eastAsia="Arial" w:hAnsi="Arial"/>
          <w:b/>
          <w:bCs/>
          <w:color w:val="2C3E50"/>
          <w:sz w:val="22"/>
          <w:szCs w:val="22"/>
        </w:rPr>
        <w:t xml:space="preserve">Phase 2 — Context Assembly. </w:t>
      </w:r>
      <w:r>
        <w:rPr>
          <w:rFonts w:ascii="Arial" w:cs="Arial" w:eastAsia="Arial" w:hAnsi="Arial"/>
          <w:color w:val="2C3E50"/>
          <w:sz w:val="22"/>
          <w:szCs w:val="22"/>
        </w:rPr>
        <w:t xml:space="preserve">Build a fresh system prompt by merging AGENTS.md, SOUL.md, TOOLS.md, IDENTITY.md, USER.md, MEMORY.md, daily log, conversation history, hybrid search results, and skill definitions.</w:t>
      </w:r>
    </w:p>
    <w:p>
      <w:pPr>
        <w:pStyle w:val="ListParagraph"/>
        <w:numPr>
          <w:ilvl w:val="0"/>
          <w:numId w:val="3"/>
        </w:numPr>
        <w:spacing w:after="80"/>
      </w:pPr>
      <w:r>
        <w:rPr>
          <w:rFonts w:ascii="Arial" w:cs="Arial" w:eastAsia="Arial" w:hAnsi="Arial"/>
          <w:b/>
          <w:bCs/>
          <w:color w:val="2C3E50"/>
          <w:sz w:val="22"/>
          <w:szCs w:val="22"/>
        </w:rPr>
        <w:t xml:space="preserve">Phase 3 — Streaming with Inline Tool Execution. </w:t>
      </w:r>
      <w:r>
        <w:rPr>
          <w:rFonts w:ascii="Arial" w:cs="Arial" w:eastAsia="Arial" w:hAnsi="Arial"/>
          <w:color w:val="2C3E50"/>
          <w:sz w:val="22"/>
          <w:szCs w:val="22"/>
        </w:rPr>
        <w:t xml:space="preserve">Stream tokens from the model, watch for tool_use blocks in real-time, intercept mid-generation, execute immediately, backfill results into the ongoing stream, model continues reasoning. No stop-regenerate cycle.</w:t>
      </w:r>
    </w:p>
    <w:p>
      <w:pPr>
        <w:pStyle w:val="ListParagraph"/>
        <w:numPr>
          <w:ilvl w:val="0"/>
          <w:numId w:val="3"/>
        </w:numPr>
        <w:spacing w:after="80"/>
      </w:pPr>
      <w:r>
        <w:rPr>
          <w:rFonts w:ascii="Arial" w:cs="Arial" w:eastAsia="Arial" w:hAnsi="Arial"/>
          <w:b/>
          <w:bCs/>
          <w:color w:val="2C3E50"/>
          <w:sz w:val="22"/>
          <w:szCs w:val="22"/>
        </w:rPr>
        <w:t xml:space="preserve">Phase 4 — State Persistence. </w:t>
      </w:r>
      <w:r>
        <w:rPr>
          <w:rFonts w:ascii="Arial" w:cs="Arial" w:eastAsia="Arial" w:hAnsi="Arial"/>
          <w:color w:val="2C3E50"/>
          <w:sz w:val="22"/>
          <w:szCs w:val="22"/>
        </w:rPr>
        <w:t xml:space="preserve">Write updated session to disk: new entries, tool execution history, memory embeddings, metadata.</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A5276" w:sz="1"/>
              <w:left w:val="single" w:color="1A5276" w:sz="6"/>
              <w:bottom w:val="single" w:color="1A5276" w:sz="1"/>
              <w:right w:val="single" w:color="1A5276" w:sz="1"/>
            </w:tcBorders>
            <w:shd w:fill="D6EAF8" w:val="clear"/>
            <w:tcMar>
              <w:top w:type="dxa" w:w="120"/>
              <w:left w:type="dxa" w:w="200"/>
              <w:bottom w:type="dxa" w:w="120"/>
              <w:right w:type="dxa" w:w="200"/>
            </w:tcMar>
          </w:tcPr>
          <w:p>
            <w:pPr>
              <w:spacing w:after="80"/>
            </w:pPr>
            <w:r>
              <w:rPr>
                <w:rFonts w:ascii="Arial" w:cs="Arial" w:eastAsia="Arial" w:hAnsi="Arial"/>
                <w:b/>
                <w:bCs/>
                <w:color w:val="1A5276"/>
                <w:sz w:val="22"/>
                <w:szCs w:val="22"/>
              </w:rPr>
              <w:t xml:space="preserve">Key Design Decision</w:t>
            </w:r>
          </w:p>
          <w:p>
            <w:r>
              <w:rPr>
                <w:rFonts w:ascii="Arial" w:cs="Arial" w:eastAsia="Arial" w:hAnsi="Arial"/>
                <w:color w:val="2C3E50"/>
                <w:sz w:val="20"/>
                <w:szCs w:val="20"/>
              </w:rPr>
              <w:t xml:space="preserve">The tool execution happens inline with the streaming response. The runtime doesn’t wait for the model to finish, then parse tool calls. It watches the stream in real-time and intercepts mid-generation. This eliminates round-trip latency and makes the agent feel responsive. Most frameworks use a loop-and-restart pattern — Pi’s inline approach is measurably faster.</w:t>
            </w:r>
          </w:p>
        </w:tc>
      </w:tr>
    </w:tbl>
    <w:p>
      <w:pPr>
        <w:spacing w:after="80"/>
      </w:pPr>
    </w:p>
    <w:p>
      <w:pPr>
        <w:pStyle w:val="Heading2"/>
      </w:pPr>
      <w:r>
        <w:rPr>
          <w:rFonts w:ascii="Arial" w:cs="Arial" w:eastAsia="Arial" w:hAnsi="Arial"/>
          <w:b/>
          <w:bCs/>
        </w:rPr>
        <w:t xml:space="preserve">The Tool System</w:t>
      </w:r>
    </w:p>
    <w:p>
      <w:pPr>
        <w:pStyle w:val="Heading3"/>
      </w:pPr>
      <w:r>
        <w:rPr>
          <w:rFonts w:ascii="Arial" w:cs="Arial" w:eastAsia="Arial" w:hAnsi="Arial"/>
          <w:b/>
          <w:bCs/>
        </w:rPr>
        <w:t xml:space="preserve">Pi Coding Tools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BDC3C7" w:sz="1"/>
              <w:left w:val="single" w:color="BDC3C7" w:sz="1"/>
              <w:bottom w:val="single" w:color="BDC3C7" w:sz="1"/>
              <w:right w:val="single" w:color="BDC3C7"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Tool</w:t>
            </w:r>
          </w:p>
        </w:tc>
        <w:tc>
          <w:tcPr>
            <w:tcW w:type="dxa" w:w="7020"/>
            <w:tcBorders>
              <w:top w:val="single" w:color="BDC3C7" w:sz="1"/>
              <w:left w:val="single" w:color="BDC3C7" w:sz="1"/>
              <w:bottom w:val="single" w:color="BDC3C7" w:sz="1"/>
              <w:right w:val="single" w:color="BDC3C7"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What It Does</w:t>
            </w:r>
          </w:p>
        </w:tc>
      </w:tr>
      <w:tr>
        <w:tc>
          <w:tcPr>
            <w:tcW w:type="dxa" w:w="234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b w:val="false"/>
                <w:bCs w:val="false"/>
                <w:color w:val="2C3E50"/>
                <w:sz w:val="20"/>
                <w:szCs w:val="20"/>
              </w:rPr>
              <w:t xml:space="preserve">read(path)</w:t>
            </w:r>
          </w:p>
        </w:tc>
        <w:tc>
          <w:tcPr>
            <w:tcW w:type="dxa" w:w="702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b w:val="false"/>
                <w:bCs w:val="false"/>
                <w:color w:val="2C3E50"/>
                <w:sz w:val="20"/>
                <w:szCs w:val="20"/>
              </w:rPr>
              <w:t xml:space="preserve">Read file contents</w:t>
            </w:r>
          </w:p>
        </w:tc>
      </w:tr>
      <w:tr>
        <w:tc>
          <w:tcPr>
            <w:tcW w:type="dxa" w:w="234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b w:val="false"/>
                <w:bCs w:val="false"/>
                <w:color w:val="2C3E50"/>
                <w:sz w:val="20"/>
                <w:szCs w:val="20"/>
              </w:rPr>
              <w:t xml:space="preserve">write(path, content)</w:t>
            </w:r>
          </w:p>
        </w:tc>
        <w:tc>
          <w:tcPr>
            <w:tcW w:type="dxa" w:w="702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b w:val="false"/>
                <w:bCs w:val="false"/>
                <w:color w:val="2C3E50"/>
                <w:sz w:val="20"/>
                <w:szCs w:val="20"/>
              </w:rPr>
              <w:t xml:space="preserve">Create or overwrite files</w:t>
            </w:r>
          </w:p>
        </w:tc>
      </w:tr>
      <w:tr>
        <w:tc>
          <w:tcPr>
            <w:tcW w:type="dxa" w:w="234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b w:val="false"/>
                <w:bCs w:val="false"/>
                <w:color w:val="2C3E50"/>
                <w:sz w:val="20"/>
                <w:szCs w:val="20"/>
              </w:rPr>
              <w:t xml:space="preserve">edit(path, range, content)</w:t>
            </w:r>
          </w:p>
        </w:tc>
        <w:tc>
          <w:tcPr>
            <w:tcW w:type="dxa" w:w="702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b w:val="false"/>
                <w:bCs w:val="false"/>
                <w:color w:val="2C3E50"/>
                <w:sz w:val="20"/>
                <w:szCs w:val="20"/>
              </w:rPr>
              <w:t xml:space="preserve">Modify existing files</w:t>
            </w:r>
          </w:p>
        </w:tc>
      </w:tr>
      <w:tr>
        <w:tc>
          <w:tcPr>
            <w:tcW w:type="dxa" w:w="234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b w:val="false"/>
                <w:bCs w:val="false"/>
                <w:color w:val="2C3E50"/>
                <w:sz w:val="20"/>
                <w:szCs w:val="20"/>
              </w:rPr>
              <w:t xml:space="preserve">exec(command)</w:t>
            </w:r>
          </w:p>
        </w:tc>
        <w:tc>
          <w:tcPr>
            <w:tcW w:type="dxa" w:w="702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b w:val="false"/>
                <w:bCs w:val="false"/>
                <w:color w:val="2C3E50"/>
                <w:sz w:val="20"/>
                <w:szCs w:val="20"/>
              </w:rPr>
              <w:t xml:space="preserve">Execute shell commands</w:t>
            </w:r>
          </w:p>
        </w:tc>
      </w:tr>
      <w:tr>
        <w:tc>
          <w:tcPr>
            <w:tcW w:type="dxa" w:w="234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b w:val="false"/>
                <w:bCs w:val="false"/>
                <w:color w:val="2C3E50"/>
                <w:sz w:val="20"/>
                <w:szCs w:val="20"/>
              </w:rPr>
              <w:t xml:space="preserve">process</w:t>
            </w:r>
          </w:p>
        </w:tc>
        <w:tc>
          <w:tcPr>
            <w:tcW w:type="dxa" w:w="702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b w:val="false"/>
                <w:bCs w:val="false"/>
                <w:color w:val="2C3E50"/>
                <w:sz w:val="20"/>
                <w:szCs w:val="20"/>
              </w:rPr>
              <w:t xml:space="preserve">Subprocess management</w:t>
            </w:r>
          </w:p>
        </w:tc>
      </w:tr>
    </w:tbl>
    <w:p>
      <w:pPr>
        <w:spacing w:after="80"/>
      </w:pPr>
    </w:p>
    <w:p>
      <w:pPr>
        <w:pStyle w:val="Heading3"/>
      </w:pPr>
      <w:r>
        <w:rPr>
          <w:rFonts w:ascii="Arial" w:cs="Arial" w:eastAsia="Arial" w:hAnsi="Arial"/>
          <w:b/>
          <w:bCs/>
        </w:rPr>
        <w:t xml:space="preserve">OpenClaw-Specific Tools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BDC3C7" w:sz="1"/>
              <w:left w:val="single" w:color="BDC3C7" w:sz="1"/>
              <w:bottom w:val="single" w:color="BDC3C7" w:sz="1"/>
              <w:right w:val="single" w:color="BDC3C7"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Tool</w:t>
            </w:r>
          </w:p>
        </w:tc>
        <w:tc>
          <w:tcPr>
            <w:tcW w:type="dxa" w:w="7020"/>
            <w:tcBorders>
              <w:top w:val="single" w:color="BDC3C7" w:sz="1"/>
              <w:left w:val="single" w:color="BDC3C7" w:sz="1"/>
              <w:bottom w:val="single" w:color="BDC3C7" w:sz="1"/>
              <w:right w:val="single" w:color="BDC3C7"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What It Does</w:t>
            </w:r>
          </w:p>
        </w:tc>
      </w:tr>
      <w:tr>
        <w:tc>
          <w:tcPr>
            <w:tcW w:type="dxa" w:w="234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b w:val="false"/>
                <w:bCs w:val="false"/>
                <w:color w:val="2C3E50"/>
                <w:sz w:val="20"/>
                <w:szCs w:val="20"/>
              </w:rPr>
              <w:t xml:space="preserve">browser</w:t>
            </w:r>
          </w:p>
        </w:tc>
        <w:tc>
          <w:tcPr>
            <w:tcW w:type="dxa" w:w="702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b w:val="false"/>
                <w:bCs w:val="false"/>
                <w:color w:val="2C3E50"/>
                <w:sz w:val="20"/>
                <w:szCs w:val="20"/>
              </w:rPr>
              <w:t xml:space="preserve">Chrome DevTools Protocol — navigation, snapshots, actions</w:t>
            </w:r>
          </w:p>
        </w:tc>
      </w:tr>
      <w:tr>
        <w:tc>
          <w:tcPr>
            <w:tcW w:type="dxa" w:w="234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b w:val="false"/>
                <w:bCs w:val="false"/>
                <w:color w:val="2C3E50"/>
                <w:sz w:val="20"/>
                <w:szCs w:val="20"/>
              </w:rPr>
              <w:t xml:space="preserve">canvas</w:t>
            </w:r>
          </w:p>
        </w:tc>
        <w:tc>
          <w:tcPr>
            <w:tcW w:type="dxa" w:w="702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b w:val="false"/>
                <w:bCs w:val="false"/>
                <w:color w:val="2C3E50"/>
                <w:sz w:val="20"/>
                <w:szCs w:val="20"/>
              </w:rPr>
              <w:t xml:space="preserve">A2UI visual workspace rendering</w:t>
            </w:r>
          </w:p>
        </w:tc>
      </w:tr>
      <w:tr>
        <w:tc>
          <w:tcPr>
            <w:tcW w:type="dxa" w:w="234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b w:val="false"/>
                <w:bCs w:val="false"/>
                <w:color w:val="2C3E50"/>
                <w:sz w:val="20"/>
                <w:szCs w:val="20"/>
              </w:rPr>
              <w:t xml:space="preserve">nodes</w:t>
            </w:r>
          </w:p>
        </w:tc>
        <w:tc>
          <w:tcPr>
            <w:tcW w:type="dxa" w:w="702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b w:val="false"/>
                <w:bCs w:val="false"/>
                <w:color w:val="2C3E50"/>
                <w:sz w:val="20"/>
                <w:szCs w:val="20"/>
              </w:rPr>
              <w:t xml:space="preserve">Device control on macOS/iOS/Android companions</w:t>
            </w:r>
          </w:p>
        </w:tc>
      </w:tr>
      <w:tr>
        <w:tc>
          <w:tcPr>
            <w:tcW w:type="dxa" w:w="234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b w:val="false"/>
                <w:bCs w:val="false"/>
                <w:color w:val="2C3E50"/>
                <w:sz w:val="20"/>
                <w:szCs w:val="20"/>
              </w:rPr>
              <w:t xml:space="preserve">cron</w:t>
            </w:r>
          </w:p>
        </w:tc>
        <w:tc>
          <w:tcPr>
            <w:tcW w:type="dxa" w:w="702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b w:val="false"/>
                <w:bCs w:val="false"/>
                <w:color w:val="2C3E50"/>
                <w:sz w:val="20"/>
                <w:szCs w:val="20"/>
              </w:rPr>
              <w:t xml:space="preserve">Schedule recurring jobs</w:t>
            </w:r>
          </w:p>
        </w:tc>
      </w:tr>
      <w:tr>
        <w:tc>
          <w:tcPr>
            <w:tcW w:type="dxa" w:w="234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b w:val="false"/>
                <w:bCs w:val="false"/>
                <w:color w:val="2C3E50"/>
                <w:sz w:val="20"/>
                <w:szCs w:val="20"/>
              </w:rPr>
              <w:t xml:space="preserve">sessions</w:t>
            </w:r>
          </w:p>
        </w:tc>
        <w:tc>
          <w:tcPr>
            <w:tcW w:type="dxa" w:w="702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b w:val="false"/>
                <w:bCs w:val="false"/>
                <w:color w:val="2C3E50"/>
                <w:sz w:val="20"/>
                <w:szCs w:val="20"/>
              </w:rPr>
              <w:t xml:space="preserve">Create and spawn sub-agents</w:t>
            </w:r>
          </w:p>
        </w:tc>
      </w:tr>
      <w:tr>
        <w:tc>
          <w:tcPr>
            <w:tcW w:type="dxa" w:w="234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b w:val="false"/>
                <w:bCs w:val="false"/>
                <w:color w:val="2C3E50"/>
                <w:sz w:val="20"/>
                <w:szCs w:val="20"/>
              </w:rPr>
              <w:t xml:space="preserve">message</w:t>
            </w:r>
          </w:p>
        </w:tc>
        <w:tc>
          <w:tcPr>
            <w:tcW w:type="dxa" w:w="702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b w:val="false"/>
                <w:bCs w:val="false"/>
                <w:color w:val="2C3E50"/>
                <w:sz w:val="20"/>
                <w:szCs w:val="20"/>
              </w:rPr>
              <w:t xml:space="preserve">Send replies to users across channels</w:t>
            </w:r>
          </w:p>
        </w:tc>
      </w:tr>
      <w:tr>
        <w:tc>
          <w:tcPr>
            <w:tcW w:type="dxa" w:w="234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b w:val="false"/>
                <w:bCs w:val="false"/>
                <w:color w:val="2C3E50"/>
                <w:sz w:val="20"/>
                <w:szCs w:val="20"/>
              </w:rPr>
              <w:t xml:space="preserve">memory</w:t>
            </w:r>
          </w:p>
        </w:tc>
        <w:tc>
          <w:tcPr>
            <w:tcW w:type="dxa" w:w="702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b w:val="false"/>
                <w:bCs w:val="false"/>
                <w:color w:val="2C3E50"/>
                <w:sz w:val="20"/>
                <w:szCs w:val="20"/>
              </w:rPr>
              <w:t xml:space="preserve">Write durable memories before context compaction</w:t>
            </w:r>
          </w:p>
        </w:tc>
      </w:tr>
    </w:tbl>
    <w:p>
      <w:r>
        <w:br w:type="page"/>
      </w:r>
    </w:p>
    <w:p>
      <w:pPr>
        <w:pStyle w:val="Heading1"/>
      </w:pPr>
      <w:r>
        <w:rPr>
          <w:rFonts w:ascii="Arial" w:cs="Arial" w:eastAsia="Arial" w:hAnsi="Arial"/>
          <w:b/>
          <w:bCs/>
        </w:rPr>
        <w:t xml:space="preserve">3. Memory Architecture: SQLite-Powered Hybrid RAG</w:t>
      </w:r>
    </w:p>
    <w:p>
      <w:pPr>
        <w:spacing w:after="160"/>
      </w:pPr>
      <w:r>
        <w:rPr>
          <w:rFonts w:ascii="Arial" w:cs="Arial" w:eastAsia="Arial" w:hAnsi="Arial"/>
          <w:color w:val="2C3E50"/>
          <w:sz w:val="22"/>
          <w:szCs w:val="22"/>
        </w:rPr>
        <w:t xml:space="preserve">The entire memory system runs on a single SQLite database — no external vector DB, no cloud service.</w:t>
      </w:r>
    </w:p>
    <w:p>
      <w:pPr>
        <w:pStyle w:val="Heading2"/>
      </w:pPr>
      <w:r>
        <w:rPr>
          <w:rFonts w:ascii="Arial" w:cs="Arial" w:eastAsia="Arial" w:hAnsi="Arial"/>
          <w:b/>
          <w:bCs/>
        </w:rPr>
        <w:t xml:space="preserve">Hybrid Search: BM25 + Vector Embeddings</w:t>
      </w:r>
    </w:p>
    <w:p>
      <w:pPr>
        <w:spacing w:after="160"/>
      </w:pPr>
      <w:r>
        <w:rPr>
          <w:rFonts w:ascii="Arial" w:cs="Arial" w:eastAsia="Arial" w:hAnsi="Arial"/>
          <w:b/>
          <w:bCs/>
          <w:color w:val="2C3E50"/>
          <w:sz w:val="22"/>
          <w:szCs w:val="22"/>
        </w:rPr>
        <w:t xml:space="preserve">Vector Search (Semantic): </w:t>
      </w:r>
      <w:r>
        <w:rPr>
          <w:rFonts w:ascii="Arial" w:cs="Arial" w:eastAsia="Arial" w:hAnsi="Arial"/>
          <w:color w:val="2C3E50"/>
          <w:sz w:val="22"/>
          <w:szCs w:val="22"/>
        </w:rPr>
        <w:t xml:space="preserve">Embeddings for 512–1024 token chunks stored via sqlite-vec extension. Cosine similarity finds semantically related conversations.</w:t>
      </w:r>
    </w:p>
    <w:p>
      <w:pPr>
        <w:spacing w:after="160"/>
      </w:pPr>
      <w:r>
        <w:rPr>
          <w:rFonts w:ascii="Arial" w:cs="Arial" w:eastAsia="Arial" w:hAnsi="Arial"/>
          <w:b/>
          <w:bCs/>
          <w:color w:val="2C3E50"/>
          <w:sz w:val="22"/>
          <w:szCs w:val="22"/>
        </w:rPr>
        <w:t xml:space="preserve">BM25 Search (Keyword): </w:t>
      </w:r>
      <w:r>
        <w:rPr>
          <w:rFonts w:ascii="Arial" w:cs="Arial" w:eastAsia="Arial" w:hAnsi="Arial"/>
          <w:color w:val="2C3E50"/>
          <w:sz w:val="22"/>
          <w:szCs w:val="22"/>
        </w:rPr>
        <w:t xml:space="preserve">SQLite FTS5 full-text search for exact token matching. Excels at error codes, function names, unique identifiers.</w:t>
      </w:r>
    </w:p>
    <w:p>
      <w:pPr>
        <w:spacing w:after="160"/>
      </w:pPr>
      <w:r>
        <w:rPr>
          <w:rFonts w:ascii="Arial" w:cs="Arial" w:eastAsia="Arial" w:hAnsi="Arial"/>
          <w:b/>
          <w:bCs/>
          <w:color w:val="2C3E50"/>
          <w:sz w:val="22"/>
          <w:szCs w:val="22"/>
        </w:rPr>
        <w:t xml:space="preserve">Hybrid Blend: </w:t>
      </w:r>
      <w:r>
        <w:rPr>
          <w:rFonts w:ascii="Arial" w:cs="Arial" w:eastAsia="Arial" w:hAnsi="Arial"/>
          <w:color w:val="2C3E50"/>
          <w:sz w:val="22"/>
          <w:szCs w:val="22"/>
        </w:rPr>
        <w:t xml:space="preserve">70% vector + 30% BM25 keyword score, union of both result sets, 4x candidate pool sampled then reranked.</w:t>
      </w:r>
    </w:p>
    <w:p>
      <w:pPr>
        <w:pStyle w:val="Heading2"/>
      </w:pPr>
      <w:r>
        <w:rPr>
          <w:rFonts w:ascii="Arial" w:cs="Arial" w:eastAsia="Arial" w:hAnsi="Arial"/>
          <w:b/>
          <w:bCs/>
        </w:rPr>
        <w:t xml:space="preserve">Context Window Compaction</w:t>
      </w:r>
    </w:p>
    <w:p>
      <w:pPr>
        <w:pStyle w:val="ListParagraph"/>
        <w:numPr>
          <w:ilvl w:val="0"/>
          <w:numId w:val="3"/>
        </w:numPr>
        <w:spacing w:after="80"/>
      </w:pPr>
      <w:r>
        <w:rPr>
          <w:rFonts w:ascii="Arial" w:cs="Arial" w:eastAsia="Arial" w:hAnsi="Arial"/>
          <w:b/>
          <w:bCs/>
          <w:color w:val="2C3E50"/>
          <w:sz w:val="22"/>
          <w:szCs w:val="22"/>
        </w:rPr>
        <w:t xml:space="preserve">Detect </w:t>
      </w:r>
      <w:r>
        <w:rPr>
          <w:rFonts w:ascii="Arial" w:cs="Arial" w:eastAsia="Arial" w:hAnsi="Arial"/>
          <w:color w:val="2C3E50"/>
          <w:sz w:val="22"/>
          <w:szCs w:val="22"/>
        </w:rPr>
        <w:t xml:space="preserve">token count approaching context window limit</w:t>
      </w:r>
    </w:p>
    <w:p>
      <w:pPr>
        <w:pStyle w:val="ListParagraph"/>
        <w:numPr>
          <w:ilvl w:val="0"/>
          <w:numId w:val="3"/>
        </w:numPr>
        <w:spacing w:after="80"/>
      </w:pPr>
      <w:r>
        <w:rPr>
          <w:rFonts w:ascii="Arial" w:cs="Arial" w:eastAsia="Arial" w:hAnsi="Arial"/>
          <w:b/>
          <w:bCs/>
          <w:color w:val="2C3E50"/>
          <w:sz w:val="22"/>
          <w:szCs w:val="22"/>
        </w:rPr>
        <w:t xml:space="preserve">Trigger </w:t>
      </w:r>
      <w:r>
        <w:rPr>
          <w:rFonts w:ascii="Arial" w:cs="Arial" w:eastAsia="Arial" w:hAnsi="Arial"/>
          <w:color w:val="2C3E50"/>
          <w:sz w:val="22"/>
          <w:szCs w:val="22"/>
        </w:rPr>
        <w:t xml:space="preserve">a silent agentic turn (invisible to user)</w:t>
      </w:r>
    </w:p>
    <w:p>
      <w:pPr>
        <w:pStyle w:val="ListParagraph"/>
        <w:numPr>
          <w:ilvl w:val="0"/>
          <w:numId w:val="3"/>
        </w:numPr>
        <w:spacing w:after="80"/>
      </w:pPr>
      <w:r>
        <w:rPr>
          <w:rFonts w:ascii="Arial" w:cs="Arial" w:eastAsia="Arial" w:hAnsi="Arial"/>
          <w:b/>
          <w:bCs/>
          <w:color w:val="2C3E50"/>
          <w:sz w:val="22"/>
          <w:szCs w:val="22"/>
        </w:rPr>
        <w:t xml:space="preserve">Prompt model </w:t>
      </w:r>
      <w:r>
        <w:rPr>
          <w:rFonts w:ascii="Arial" w:cs="Arial" w:eastAsia="Arial" w:hAnsi="Arial"/>
          <w:color w:val="2C3E50"/>
          <w:sz w:val="22"/>
          <w:szCs w:val="22"/>
        </w:rPr>
        <w:t xml:space="preserve">to write important facts to durable memory</w:t>
      </w:r>
    </w:p>
    <w:p>
      <w:pPr>
        <w:pStyle w:val="ListParagraph"/>
        <w:numPr>
          <w:ilvl w:val="0"/>
          <w:numId w:val="3"/>
        </w:numPr>
        <w:spacing w:after="80"/>
      </w:pPr>
      <w:r>
        <w:rPr>
          <w:rFonts w:ascii="Arial" w:cs="Arial" w:eastAsia="Arial" w:hAnsi="Arial"/>
          <w:b/>
          <w:bCs/>
          <w:color w:val="2C3E50"/>
          <w:sz w:val="22"/>
          <w:szCs w:val="22"/>
        </w:rPr>
        <w:t xml:space="preserve">Auto-summarize </w:t>
      </w:r>
      <w:r>
        <w:rPr>
          <w:rFonts w:ascii="Arial" w:cs="Arial" w:eastAsia="Arial" w:hAnsi="Arial"/>
          <w:color w:val="2C3E50"/>
          <w:sz w:val="22"/>
          <w:szCs w:val="22"/>
        </w:rPr>
        <w:t xml:space="preserve">older conversation history to reduce tokens</w:t>
      </w:r>
    </w:p>
    <w:p>
      <w:pPr>
        <w:pStyle w:val="ListParagraph"/>
        <w:numPr>
          <w:ilvl w:val="0"/>
          <w:numId w:val="3"/>
        </w:numPr>
        <w:spacing w:after="80"/>
      </w:pPr>
      <w:r>
        <w:rPr>
          <w:rFonts w:ascii="Arial" w:cs="Arial" w:eastAsia="Arial" w:hAnsi="Arial"/>
          <w:b/>
          <w:bCs/>
          <w:color w:val="2C3E50"/>
          <w:sz w:val="22"/>
          <w:szCs w:val="22"/>
        </w:rPr>
        <w:t xml:space="preserve">Continue </w:t>
      </w:r>
      <w:r>
        <w:rPr>
          <w:rFonts w:ascii="Arial" w:cs="Arial" w:eastAsia="Arial" w:hAnsi="Arial"/>
          <w:color w:val="2C3E50"/>
          <w:sz w:val="22"/>
          <w:szCs w:val="22"/>
        </w:rPr>
        <w:t xml:space="preserve">the original turn after compaction</w:t>
      </w:r>
    </w:p>
    <w:p>
      <w:pPr>
        <w:spacing w:after="80"/>
      </w:pPr>
    </w:p>
    <w:p>
      <w:pPr>
        <w:spacing w:after="160"/>
      </w:pPr>
      <w:r>
        <w:rPr>
          <w:rFonts w:ascii="Arial" w:cs="Arial" w:eastAsia="Arial" w:hAnsi="Arial"/>
          <w:color w:val="2C3E50"/>
          <w:sz w:val="22"/>
          <w:szCs w:val="22"/>
        </w:rPr>
        <w:t xml:space="preserve">Memory is written before it’s discarded, so nothing important is lost. All memories stored as readable Markdown — users own their data completely.</w:t>
      </w:r>
    </w:p>
    <w:p>
      <w:r>
        <w:br w:type="page"/>
      </w:r>
    </w:p>
    <w:p>
      <w:pPr>
        <w:pStyle w:val="Heading1"/>
      </w:pPr>
      <w:r>
        <w:rPr>
          <w:rFonts w:ascii="Arial" w:cs="Arial" w:eastAsia="Arial" w:hAnsi="Arial"/>
          <w:b/>
          <w:bCs/>
        </w:rPr>
        <w:t xml:space="preserve">4. Session Management: Lane Queues</w:t>
      </w:r>
    </w:p>
    <w:p>
      <w:pPr>
        <w:spacing w:after="160"/>
      </w:pPr>
      <w:r>
        <w:rPr>
          <w:rFonts w:ascii="Arial" w:cs="Arial" w:eastAsia="Arial" w:hAnsi="Arial"/>
          <w:color w:val="2C3E50"/>
          <w:sz w:val="22"/>
          <w:szCs w:val="22"/>
        </w:rPr>
        <w:t xml:space="preserve">Concurrency model: “Default Serial, Explicit Parallel.” Each session gets its own lane:</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5020"/>
        <w:gridCol w:w="2340"/>
      </w:tblGrid>
      <w:tr>
        <w:tc>
          <w:tcPr>
            <w:tcW w:type="dxa" w:w="2000"/>
            <w:tcBorders>
              <w:top w:val="single" w:color="BDC3C7" w:sz="1"/>
              <w:left w:val="single" w:color="BDC3C7" w:sz="1"/>
              <w:bottom w:val="single" w:color="BDC3C7" w:sz="1"/>
              <w:right w:val="single" w:color="BDC3C7"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Lane</w:t>
            </w:r>
          </w:p>
        </w:tc>
        <w:tc>
          <w:tcPr>
            <w:tcW w:type="dxa" w:w="5020"/>
            <w:tcBorders>
              <w:top w:val="single" w:color="BDC3C7" w:sz="1"/>
              <w:left w:val="single" w:color="BDC3C7" w:sz="1"/>
              <w:bottom w:val="single" w:color="BDC3C7" w:sz="1"/>
              <w:right w:val="single" w:color="BDC3C7"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Purpose</w:t>
            </w:r>
          </w:p>
        </w:tc>
        <w:tc>
          <w:tcPr>
            <w:tcW w:type="dxa" w:w="2340"/>
            <w:tcBorders>
              <w:top w:val="single" w:color="BDC3C7" w:sz="1"/>
              <w:left w:val="single" w:color="BDC3C7" w:sz="1"/>
              <w:bottom w:val="single" w:color="BDC3C7" w:sz="1"/>
              <w:right w:val="single" w:color="BDC3C7"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Concurrency</w:t>
            </w:r>
          </w:p>
        </w:tc>
      </w:tr>
      <w:tr>
        <w:tc>
          <w:tcPr>
            <w:tcW w:type="dxa" w:w="20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b w:val="false"/>
                <w:bCs w:val="false"/>
                <w:color w:val="2C3E50"/>
                <w:sz w:val="20"/>
                <w:szCs w:val="20"/>
              </w:rPr>
              <w:t xml:space="preserve">Main</w:t>
            </w:r>
          </w:p>
        </w:tc>
        <w:tc>
          <w:tcPr>
            <w:tcW w:type="dxa" w:w="502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b w:val="false"/>
                <w:bCs w:val="false"/>
                <w:color w:val="2C3E50"/>
                <w:sz w:val="20"/>
                <w:szCs w:val="20"/>
              </w:rPr>
              <w:t xml:space="preserve">Primary chat workflow</w:t>
            </w:r>
          </w:p>
        </w:tc>
        <w:tc>
          <w:tcPr>
            <w:tcW w:type="dxa" w:w="234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b w:val="false"/>
                <w:bCs w:val="false"/>
                <w:color w:val="2C3E50"/>
                <w:sz w:val="20"/>
                <w:szCs w:val="20"/>
              </w:rPr>
              <w:t xml:space="preserve">4</w:t>
            </w:r>
          </w:p>
        </w:tc>
      </w:tr>
      <w:tr>
        <w:tc>
          <w:tcPr>
            <w:tcW w:type="dxa" w:w="20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b w:val="false"/>
                <w:bCs w:val="false"/>
                <w:color w:val="2C3E50"/>
                <w:sz w:val="20"/>
                <w:szCs w:val="20"/>
              </w:rPr>
              <w:t xml:space="preserve">Cron</w:t>
            </w:r>
          </w:p>
        </w:tc>
        <w:tc>
          <w:tcPr>
            <w:tcW w:type="dxa" w:w="502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b w:val="false"/>
                <w:bCs w:val="false"/>
                <w:color w:val="2C3E50"/>
                <w:sz w:val="20"/>
                <w:szCs w:val="20"/>
              </w:rPr>
              <w:t xml:space="preserve">Scheduled jobs (isolated: cron:&lt;job_id&gt;)</w:t>
            </w:r>
          </w:p>
        </w:tc>
        <w:tc>
          <w:tcPr>
            <w:tcW w:type="dxa" w:w="234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b w:val="false"/>
                <w:bCs w:val="false"/>
                <w:color w:val="2C3E50"/>
                <w:sz w:val="20"/>
                <w:szCs w:val="20"/>
              </w:rPr>
              <w:t xml:space="preserve">1</w:t>
            </w:r>
          </w:p>
        </w:tc>
      </w:tr>
      <w:tr>
        <w:tc>
          <w:tcPr>
            <w:tcW w:type="dxa" w:w="20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b w:val="false"/>
                <w:bCs w:val="false"/>
                <w:color w:val="2C3E50"/>
                <w:sz w:val="20"/>
                <w:szCs w:val="20"/>
              </w:rPr>
              <w:t xml:space="preserve">Subagent</w:t>
            </w:r>
          </w:p>
        </w:tc>
        <w:tc>
          <w:tcPr>
            <w:tcW w:type="dxa" w:w="502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b w:val="false"/>
                <w:bCs w:val="false"/>
                <w:color w:val="2C3E50"/>
                <w:sz w:val="20"/>
                <w:szCs w:val="20"/>
              </w:rPr>
              <w:t xml:space="preserve">Child agent spawning</w:t>
            </w:r>
          </w:p>
        </w:tc>
        <w:tc>
          <w:tcPr>
            <w:tcW w:type="dxa" w:w="234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b w:val="false"/>
                <w:bCs w:val="false"/>
                <w:color w:val="2C3E50"/>
                <w:sz w:val="20"/>
                <w:szCs w:val="20"/>
              </w:rPr>
              <w:t xml:space="preserve">8</w:t>
            </w:r>
          </w:p>
        </w:tc>
      </w:tr>
      <w:tr>
        <w:tc>
          <w:tcPr>
            <w:tcW w:type="dxa" w:w="20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b w:val="false"/>
                <w:bCs w:val="false"/>
                <w:color w:val="2C3E50"/>
                <w:sz w:val="20"/>
                <w:szCs w:val="20"/>
              </w:rPr>
              <w:t xml:space="preserve">Nested</w:t>
            </w:r>
          </w:p>
        </w:tc>
        <w:tc>
          <w:tcPr>
            <w:tcW w:type="dxa" w:w="502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b w:val="false"/>
                <w:bCs w:val="false"/>
                <w:color w:val="2C3E50"/>
                <w:sz w:val="20"/>
                <w:szCs w:val="20"/>
              </w:rPr>
              <w:t xml:space="preserve">Nested tool calls within a run</w:t>
            </w:r>
          </w:p>
        </w:tc>
        <w:tc>
          <w:tcPr>
            <w:tcW w:type="dxa" w:w="234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b w:val="false"/>
                <w:bCs w:val="false"/>
                <w:color w:val="2C3E50"/>
                <w:sz w:val="20"/>
                <w:szCs w:val="20"/>
              </w:rPr>
              <w:t xml:space="preserve">1</w:t>
            </w:r>
          </w:p>
        </w:tc>
      </w:tr>
    </w:tbl>
    <w:p>
      <w:pPr>
        <w:spacing w:after="80"/>
      </w:pPr>
    </w:p>
    <w:p>
      <w:pPr>
        <w:spacing w:after="160"/>
      </w:pPr>
      <w:r>
        <w:rPr>
          <w:rFonts w:ascii="Arial" w:cs="Arial" w:eastAsia="Arial" w:hAnsi="Arial"/>
          <w:color w:val="2C3E50"/>
          <w:sz w:val="22"/>
          <w:szCs w:val="22"/>
        </w:rPr>
        <w:t xml:space="preserve">Messages within a session are processed serially — a second message waits until the first run completes. This prevents state corruption. Cross-session work runs in parallel up to the concurrency cap.</w:t>
      </w:r>
    </w:p>
    <w:p>
      <w:r>
        <w:br w:type="page"/>
      </w:r>
    </w:p>
    <w:p>
      <w:pPr>
        <w:pStyle w:val="Heading1"/>
      </w:pPr>
      <w:r>
        <w:rPr>
          <w:rFonts w:ascii="Arial" w:cs="Arial" w:eastAsia="Arial" w:hAnsi="Arial"/>
          <w:b/>
          <w:bCs/>
        </w:rPr>
        <w:t xml:space="preserve">5. Multi-Agent Architecture</w:t>
      </w:r>
    </w:p>
    <w:p>
      <w:pPr>
        <w:spacing w:after="160"/>
      </w:pPr>
      <w:r>
        <w:rPr>
          <w:rFonts w:ascii="Arial" w:cs="Arial" w:eastAsia="Arial" w:hAnsi="Arial"/>
          <w:color w:val="2C3E50"/>
          <w:sz w:val="22"/>
          <w:szCs w:val="22"/>
        </w:rPr>
        <w:t xml:space="preserve">The main agent runs on an expensive model (Claude Opus 4.6 at ~$15/M tokens) and spawns sub-agents on cheaper models (DeepSeek R1 at ~$2.74/M tokens). Each agent maintains isolated workspace, session history, and auth profiles.</w:t>
      </w:r>
    </w:p>
    <w:p>
      <w:pPr>
        <w:spacing w:after="160"/>
      </w:pPr>
      <w:r>
        <w:rPr>
          <w:rFonts w:ascii="Arial" w:cs="Arial" w:eastAsia="Arial" w:hAnsi="Arial"/>
          <w:color w:val="2C3E50"/>
          <w:sz w:val="22"/>
          <w:szCs w:val="22"/>
        </w:rPr>
        <w:t xml:space="preserve">Model failover: if the primary model fails (auth, billing, rate limit), OpenClaw tries fallback models. OpenRouter rotates through multiple provider API keys for redundancy.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A5276" w:sz="1"/>
              <w:left w:val="single" w:color="1A5276" w:sz="6"/>
              <w:bottom w:val="single" w:color="1A5276" w:sz="1"/>
              <w:right w:val="single" w:color="1A5276" w:sz="1"/>
            </w:tcBorders>
            <w:shd w:fill="D6EAF8" w:val="clear"/>
            <w:tcMar>
              <w:top w:type="dxa" w:w="120"/>
              <w:left w:type="dxa" w:w="200"/>
              <w:bottom w:type="dxa" w:w="120"/>
              <w:right w:type="dxa" w:w="200"/>
            </w:tcMar>
          </w:tcPr>
          <w:p>
            <w:pPr>
              <w:spacing w:after="80"/>
            </w:pPr>
            <w:r>
              <w:rPr>
                <w:rFonts w:ascii="Arial" w:cs="Arial" w:eastAsia="Arial" w:hAnsi="Arial"/>
                <w:b/>
                <w:bCs/>
                <w:color w:val="1A5276"/>
                <w:sz w:val="22"/>
                <w:szCs w:val="22"/>
              </w:rPr>
              <w:t xml:space="preserve">Gap: No Native Cost Controls</w:t>
            </w:r>
          </w:p>
          <w:p>
            <w:r>
              <w:rPr>
                <w:rFonts w:ascii="Arial" w:cs="Arial" w:eastAsia="Arial" w:hAnsi="Arial"/>
                <w:color w:val="2C3E50"/>
                <w:sz w:val="20"/>
                <w:szCs w:val="20"/>
              </w:rPr>
              <w:t xml:space="preserve">OpenClaw currently has zero built-in budgets, limits, or alerts. For a system that can spawn sub-agents and make unlimited API calls, this is a real gap. Third-party solutions (ClawWatcher, RelayPlane, Clawly) fill it. A KARMA framework has been proposed with monthly budgets and auto-blocking.</w:t>
            </w:r>
          </w:p>
        </w:tc>
      </w:tr>
    </w:tbl>
    <w:p>
      <w:r>
        <w:br w:type="page"/>
      </w:r>
    </w:p>
    <w:p>
      <w:pPr>
        <w:pStyle w:val="Heading1"/>
      </w:pPr>
      <w:r>
        <w:rPr>
          <w:rFonts w:ascii="Arial" w:cs="Arial" w:eastAsia="Arial" w:hAnsi="Arial"/>
          <w:b/>
          <w:bCs/>
        </w:rPr>
        <w:t xml:space="preserve">6. Monorepo Structure and Tech Stack</w:t>
      </w:r>
    </w:p>
    <w:p>
      <w:pPr>
        <w:spacing w:after="160"/>
      </w:pPr>
      <w:r>
        <w:rPr>
          <w:rFonts w:ascii="Arial" w:cs="Arial" w:eastAsia="Arial" w:hAnsi="Arial"/>
          <w:color w:val="2C3E50"/>
          <w:sz w:val="22"/>
          <w:szCs w:val="22"/>
        </w:rPr>
        <w:t xml:space="preserve">pnpm workspaces with ~69 modules:</w:t>
      </w:r>
    </w:p>
    <w:p>
      <w:pPr>
        <w:spacing w:after="80"/>
      </w:pPr>
    </w:p>
    <w:p>
      <w:pPr>
        <w:shd w:fill="F8F9FA" w:val="clear"/>
        <w:spacing w:after="60"/>
        <w:ind w:left="360"/>
      </w:pPr>
      <w:r>
        <w:rPr>
          <w:rFonts w:ascii="Courier New" w:cs="Courier New" w:eastAsia="Courier New" w:hAnsi="Courier New"/>
          <w:color w:val="34495E"/>
          <w:sz w:val="18"/>
          <w:szCs w:val="18"/>
        </w:rPr>
        <w:t xml:space="preserve">src/agents/        → Agent runtime (piembeddedrunner.ts)</w:t>
      </w:r>
    </w:p>
    <w:p>
      <w:pPr>
        <w:shd w:fill="F8F9FA" w:val="clear"/>
        <w:spacing w:after="60"/>
        <w:ind w:left="360"/>
      </w:pPr>
      <w:r>
        <w:rPr>
          <w:rFonts w:ascii="Courier New" w:cs="Courier New" w:eastAsia="Courier New" w:hAnsi="Courier New"/>
          <w:color w:val="34495E"/>
          <w:sz w:val="18"/>
          <w:szCs w:val="18"/>
        </w:rPr>
        <w:t xml:space="preserve">src/gateway/       → WebSocket gateway</w:t>
      </w:r>
    </w:p>
    <w:p>
      <w:pPr>
        <w:shd w:fill="F8F9FA" w:val="clear"/>
        <w:spacing w:after="60"/>
        <w:ind w:left="360"/>
      </w:pPr>
      <w:r>
        <w:rPr>
          <w:rFonts w:ascii="Courier New" w:cs="Courier New" w:eastAsia="Courier New" w:hAnsi="Courier New"/>
          <w:color w:val="34495E"/>
          <w:sz w:val="18"/>
          <w:szCs w:val="18"/>
        </w:rPr>
        <w:t xml:space="preserve">src/memory/        → Memory/RAG system</w:t>
      </w:r>
    </w:p>
    <w:p>
      <w:pPr>
        <w:shd w:fill="F8F9FA" w:val="clear"/>
        <w:spacing w:after="60"/>
        <w:ind w:left="360"/>
      </w:pPr>
      <w:r>
        <w:rPr>
          <w:rFonts w:ascii="Courier New" w:cs="Courier New" w:eastAsia="Courier New" w:hAnsi="Courier New"/>
          <w:color w:val="34495E"/>
          <w:sz w:val="18"/>
          <w:szCs w:val="18"/>
        </w:rPr>
        <w:t xml:space="preserve">src/sessions/      → Session management</w:t>
      </w:r>
    </w:p>
    <w:p>
      <w:pPr>
        <w:shd w:fill="F8F9FA" w:val="clear"/>
        <w:spacing w:after="60"/>
        <w:ind w:left="360"/>
      </w:pPr>
      <w:r>
        <w:rPr>
          <w:rFonts w:ascii="Courier New" w:cs="Courier New" w:eastAsia="Courier New" w:hAnsi="Courier New"/>
          <w:color w:val="34495E"/>
          <w:sz w:val="18"/>
          <w:szCs w:val="18"/>
        </w:rPr>
        <w:t xml:space="preserve">src/browser/       → Chrome automation</w:t>
      </w:r>
    </w:p>
    <w:p>
      <w:pPr>
        <w:shd w:fill="F8F9FA" w:val="clear"/>
        <w:spacing w:after="60"/>
        <w:ind w:left="360"/>
      </w:pPr>
      <w:r>
        <w:rPr>
          <w:rFonts w:ascii="Courier New" w:cs="Courier New" w:eastAsia="Courier New" w:hAnsi="Courier New"/>
          <w:color w:val="34495E"/>
          <w:sz w:val="18"/>
          <w:szCs w:val="18"/>
        </w:rPr>
        <w:t xml:space="preserve">src/tools/         → Tool implementations</w:t>
      </w:r>
    </w:p>
    <w:p>
      <w:pPr>
        <w:shd w:fill="F8F9FA" w:val="clear"/>
        <w:spacing w:after="60"/>
        <w:ind w:left="360"/>
      </w:pPr>
      <w:r>
        <w:rPr>
          <w:rFonts w:ascii="Courier New" w:cs="Courier New" w:eastAsia="Courier New" w:hAnsi="Courier New"/>
          <w:color w:val="34495E"/>
          <w:sz w:val="18"/>
          <w:szCs w:val="18"/>
        </w:rPr>
        <w:t xml:space="preserve">packages/          → Core library packages</w:t>
      </w:r>
    </w:p>
    <w:p>
      <w:pPr>
        <w:shd w:fill="F8F9FA" w:val="clear"/>
        <w:spacing w:after="60"/>
        <w:ind w:left="360"/>
      </w:pPr>
      <w:r>
        <w:rPr>
          <w:rFonts w:ascii="Courier New" w:cs="Courier New" w:eastAsia="Courier New" w:hAnsi="Courier New"/>
          <w:color w:val="34495E"/>
          <w:sz w:val="18"/>
          <w:szCs w:val="18"/>
        </w:rPr>
        <w:t xml:space="preserve">extensions/        → Channel integrations</w:t>
      </w:r>
    </w:p>
    <w:p>
      <w:pPr>
        <w:shd w:fill="F8F9FA" w:val="clear"/>
        <w:spacing w:after="60"/>
        <w:ind w:left="360"/>
      </w:pPr>
      <w:r>
        <w:rPr>
          <w:rFonts w:ascii="Courier New" w:cs="Courier New" w:eastAsia="Courier New" w:hAnsi="Courier New"/>
          <w:color w:val="34495E"/>
          <w:sz w:val="18"/>
          <w:szCs w:val="18"/>
        </w:rPr>
        <w:t xml:space="preserve">apps/              → Native apps (macOS, iOS, Android)</w:t>
      </w:r>
    </w:p>
    <w:p>
      <w:pPr>
        <w:shd w:fill="F8F9FA" w:val="clear"/>
        <w:spacing w:after="60"/>
        <w:ind w:left="360"/>
      </w:pPr>
      <w:r>
        <w:rPr>
          <w:rFonts w:ascii="Courier New" w:cs="Courier New" w:eastAsia="Courier New" w:hAnsi="Courier New"/>
          <w:color w:val="34495E"/>
          <w:sz w:val="18"/>
          <w:szCs w:val="18"/>
        </w:rPr>
        <w:t xml:space="preserve">skills/            → Bundled skills</w:t>
      </w:r>
    </w:p>
    <w:p>
      <w:pPr>
        <w:spacing w:after="80"/>
      </w:pPr>
    </w:p>
    <w:p>
      <w:pPr>
        <w:pStyle w:val="Heading3"/>
      </w:pPr>
      <w:r>
        <w:rPr>
          <w:rFonts w:ascii="Arial" w:cs="Arial" w:eastAsia="Arial" w:hAnsi="Arial"/>
          <w:b/>
          <w:bCs/>
        </w:rPr>
        <w:t xml:space="preserve">Key Dependencies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3510"/>
        <w:gridCol w:w="3510"/>
      </w:tblGrid>
      <w:tr>
        <w:tc>
          <w:tcPr>
            <w:tcW w:type="dxa" w:w="2340"/>
            <w:tcBorders>
              <w:top w:val="single" w:color="BDC3C7" w:sz="1"/>
              <w:left w:val="single" w:color="BDC3C7" w:sz="1"/>
              <w:bottom w:val="single" w:color="BDC3C7" w:sz="1"/>
              <w:right w:val="single" w:color="BDC3C7"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Category</w:t>
            </w:r>
          </w:p>
        </w:tc>
        <w:tc>
          <w:tcPr>
            <w:tcW w:type="dxa" w:w="3510"/>
            <w:tcBorders>
              <w:top w:val="single" w:color="BDC3C7" w:sz="1"/>
              <w:left w:val="single" w:color="BDC3C7" w:sz="1"/>
              <w:bottom w:val="single" w:color="BDC3C7" w:sz="1"/>
              <w:right w:val="single" w:color="BDC3C7"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Library</w:t>
            </w:r>
          </w:p>
        </w:tc>
        <w:tc>
          <w:tcPr>
            <w:tcW w:type="dxa" w:w="3510"/>
            <w:tcBorders>
              <w:top w:val="single" w:color="BDC3C7" w:sz="1"/>
              <w:left w:val="single" w:color="BDC3C7" w:sz="1"/>
              <w:bottom w:val="single" w:color="BDC3C7" w:sz="1"/>
              <w:right w:val="single" w:color="BDC3C7"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Role</w:t>
            </w:r>
          </w:p>
        </w:tc>
      </w:tr>
      <w:tr>
        <w:tc>
          <w:tcPr>
            <w:tcW w:type="dxa" w:w="234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b w:val="false"/>
                <w:bCs w:val="false"/>
                <w:color w:val="2C3E50"/>
                <w:sz w:val="20"/>
                <w:szCs w:val="20"/>
              </w:rPr>
              <w:t xml:space="preserve">Agent Core</w:t>
            </w:r>
          </w:p>
        </w:tc>
        <w:tc>
          <w:tcPr>
            <w:tcW w:type="dxa" w:w="351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b w:val="false"/>
                <w:bCs w:val="false"/>
                <w:color w:val="2C3E50"/>
                <w:sz w:val="20"/>
                <w:szCs w:val="20"/>
              </w:rPr>
              <w:t xml:space="preserve">pi-agent-core v0.49.3</w:t>
            </w:r>
          </w:p>
        </w:tc>
        <w:tc>
          <w:tcPr>
            <w:tcW w:type="dxa" w:w="351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b w:val="false"/>
                <w:bCs w:val="false"/>
                <w:color w:val="2C3E50"/>
                <w:sz w:val="20"/>
                <w:szCs w:val="20"/>
              </w:rPr>
              <w:t xml:space="preserve">Execution engine</w:t>
            </w:r>
          </w:p>
        </w:tc>
      </w:tr>
      <w:tr>
        <w:tc>
          <w:tcPr>
            <w:tcW w:type="dxa" w:w="234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b w:val="false"/>
                <w:bCs w:val="false"/>
                <w:color w:val="2C3E50"/>
                <w:sz w:val="20"/>
                <w:szCs w:val="20"/>
              </w:rPr>
              <w:t xml:space="preserve">Database</w:t>
            </w:r>
          </w:p>
        </w:tc>
        <w:tc>
          <w:tcPr>
            <w:tcW w:type="dxa" w:w="351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b w:val="false"/>
                <w:bCs w:val="false"/>
                <w:color w:val="2C3E50"/>
                <w:sz w:val="20"/>
                <w:szCs w:val="20"/>
              </w:rPr>
              <w:t xml:space="preserve">sqlite3 + sqlite-vec + FTS5</w:t>
            </w:r>
          </w:p>
        </w:tc>
        <w:tc>
          <w:tcPr>
            <w:tcW w:type="dxa" w:w="351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b w:val="false"/>
                <w:bCs w:val="false"/>
                <w:color w:val="2C3E50"/>
                <w:sz w:val="20"/>
                <w:szCs w:val="20"/>
              </w:rPr>
              <w:t xml:space="preserve">Memory, sessions, RAG</w:t>
            </w:r>
          </w:p>
        </w:tc>
      </w:tr>
      <w:tr>
        <w:tc>
          <w:tcPr>
            <w:tcW w:type="dxa" w:w="234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b w:val="false"/>
                <w:bCs w:val="false"/>
                <w:color w:val="2C3E50"/>
                <w:sz w:val="20"/>
                <w:szCs w:val="20"/>
              </w:rPr>
              <w:t xml:space="preserve">Schema</w:t>
            </w:r>
          </w:p>
        </w:tc>
        <w:tc>
          <w:tcPr>
            <w:tcW w:type="dxa" w:w="351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b w:val="false"/>
                <w:bCs w:val="false"/>
                <w:color w:val="2C3E50"/>
                <w:sz w:val="20"/>
                <w:szCs w:val="20"/>
              </w:rPr>
              <w:t xml:space="preserve">TypeBox</w:t>
            </w:r>
          </w:p>
        </w:tc>
        <w:tc>
          <w:tcPr>
            <w:tcW w:type="dxa" w:w="351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b w:val="false"/>
                <w:bCs w:val="false"/>
                <w:color w:val="2C3E50"/>
                <w:sz w:val="20"/>
                <w:szCs w:val="20"/>
              </w:rPr>
              <w:t xml:space="preserve">Wire-format validation</w:t>
            </w:r>
          </w:p>
        </w:tc>
      </w:tr>
      <w:tr>
        <w:tc>
          <w:tcPr>
            <w:tcW w:type="dxa" w:w="234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b w:val="false"/>
                <w:bCs w:val="false"/>
                <w:color w:val="2C3E50"/>
                <w:sz w:val="20"/>
                <w:szCs w:val="20"/>
              </w:rPr>
              <w:t xml:space="preserve">Build</w:t>
            </w:r>
          </w:p>
        </w:tc>
        <w:tc>
          <w:tcPr>
            <w:tcW w:type="dxa" w:w="351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b w:val="false"/>
                <w:bCs w:val="false"/>
                <w:color w:val="2C3E50"/>
                <w:sz w:val="20"/>
                <w:szCs w:val="20"/>
              </w:rPr>
              <w:t xml:space="preserve">pnpm, esbuild, tsdown</w:t>
            </w:r>
          </w:p>
        </w:tc>
        <w:tc>
          <w:tcPr>
            <w:tcW w:type="dxa" w:w="351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b w:val="false"/>
                <w:bCs w:val="false"/>
                <w:color w:val="2C3E50"/>
                <w:sz w:val="20"/>
                <w:szCs w:val="20"/>
              </w:rPr>
              <w:t xml:space="preserve">Monorepo management</w:t>
            </w:r>
          </w:p>
        </w:tc>
      </w:tr>
      <w:tr>
        <w:tc>
          <w:tcPr>
            <w:tcW w:type="dxa" w:w="234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b w:val="false"/>
                <w:bCs w:val="false"/>
                <w:color w:val="2C3E50"/>
                <w:sz w:val="20"/>
                <w:szCs w:val="20"/>
              </w:rPr>
              <w:t xml:space="preserve">Image</w:t>
            </w:r>
          </w:p>
        </w:tc>
        <w:tc>
          <w:tcPr>
            <w:tcW w:type="dxa" w:w="351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b w:val="false"/>
                <w:bCs w:val="false"/>
                <w:color w:val="2C3E50"/>
                <w:sz w:val="20"/>
                <w:szCs w:val="20"/>
              </w:rPr>
              <w:t xml:space="preserve">sharp, @napi-rs/canvas</w:t>
            </w:r>
          </w:p>
        </w:tc>
        <w:tc>
          <w:tcPr>
            <w:tcW w:type="dxa" w:w="351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b w:val="false"/>
                <w:bCs w:val="false"/>
                <w:color w:val="2C3E50"/>
                <w:sz w:val="20"/>
                <w:szCs w:val="20"/>
              </w:rPr>
              <w:t xml:space="preserve">Image processing</w:t>
            </w:r>
          </w:p>
        </w:tc>
      </w:tr>
      <w:tr>
        <w:tc>
          <w:tcPr>
            <w:tcW w:type="dxa" w:w="234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b w:val="false"/>
                <w:bCs w:val="false"/>
                <w:color w:val="2C3E50"/>
                <w:sz w:val="20"/>
                <w:szCs w:val="20"/>
              </w:rPr>
              <w:t xml:space="preserve">Local LLM</w:t>
            </w:r>
          </w:p>
        </w:tc>
        <w:tc>
          <w:tcPr>
            <w:tcW w:type="dxa" w:w="351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b w:val="false"/>
                <w:bCs w:val="false"/>
                <w:color w:val="2C3E50"/>
                <w:sz w:val="20"/>
                <w:szCs w:val="20"/>
              </w:rPr>
              <w:t xml:space="preserve">node-llama-cpp</w:t>
            </w:r>
          </w:p>
        </w:tc>
        <w:tc>
          <w:tcPr>
            <w:tcW w:type="dxa" w:w="351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b w:val="false"/>
                <w:bCs w:val="false"/>
                <w:color w:val="2C3E50"/>
                <w:sz w:val="20"/>
                <w:szCs w:val="20"/>
              </w:rPr>
              <w:t xml:space="preserve">Optional local inference</w:t>
            </w:r>
          </w:p>
        </w:tc>
      </w:tr>
    </w:tbl>
    <w:p>
      <w:pPr>
        <w:spacing w:after="80"/>
      </w:pPr>
    </w:p>
    <w:p>
      <w:pPr>
        <w:spacing w:after="160"/>
      </w:pPr>
      <w:r>
        <w:rPr>
          <w:rFonts w:ascii="Arial" w:cs="Arial" w:eastAsia="Arial" w:hAnsi="Arial"/>
          <w:color w:val="2C3E50"/>
          <w:sz w:val="22"/>
          <w:szCs w:val="22"/>
        </w:rPr>
        <w:t xml:space="preserve">Runtime requirement: Node.js ≥ 22.</w:t>
      </w:r>
    </w:p>
    <w:p>
      <w:r>
        <w:br w:type="page"/>
      </w:r>
    </w:p>
    <w:p>
      <w:pPr>
        <w:pStyle w:val="Heading1"/>
      </w:pPr>
      <w:r>
        <w:rPr>
          <w:rFonts w:ascii="Arial" w:cs="Arial" w:eastAsia="Arial" w:hAnsi="Arial"/>
          <w:b/>
          <w:bCs/>
        </w:rPr>
        <w:t xml:space="preserve">7. Native Apps and Device Nodes</w:t>
      </w:r>
    </w:p>
    <w:p>
      <w:pPr>
        <w:spacing w:after="160"/>
      </w:pPr>
      <w:r>
        <w:rPr>
          <w:rFonts w:ascii="Arial" w:cs="Arial" w:eastAsia="Arial" w:hAnsi="Arial"/>
          <w:color w:val="2C3E50"/>
          <w:sz w:val="22"/>
          <w:szCs w:val="22"/>
        </w:rPr>
        <w:t xml:space="preserve">OpenClaw ships native apps for macOS (menu bar), iOS, and Android that connect to the Gateway as device nodes.</w:t>
      </w:r>
    </w:p>
    <w:p>
      <w:pPr>
        <w:pStyle w:val="ListParagraph"/>
        <w:numPr>
          <w:ilvl w:val="0"/>
          <w:numId w:val="2"/>
        </w:numPr>
        <w:spacing w:after="80"/>
      </w:pPr>
      <w:r>
        <w:rPr>
          <w:rFonts w:ascii="Arial" w:cs="Arial" w:eastAsia="Arial" w:hAnsi="Arial"/>
          <w:b/>
          <w:bCs/>
          <w:color w:val="2C3E50"/>
          <w:sz w:val="22"/>
          <w:szCs w:val="22"/>
        </w:rPr>
        <w:t xml:space="preserve">Discovery: </w:t>
      </w:r>
      <w:r>
        <w:rPr>
          <w:rFonts w:ascii="Arial" w:cs="Arial" w:eastAsia="Arial" w:hAnsi="Arial"/>
          <w:color w:val="2C3E50"/>
          <w:sz w:val="22"/>
          <w:szCs w:val="22"/>
        </w:rPr>
        <w:t xml:space="preserve">Bonjour/mDNS (_openclaw-gw._tcp) on local network, or explicit hostname/IP</w:t>
      </w:r>
    </w:p>
    <w:p>
      <w:pPr>
        <w:pStyle w:val="ListParagraph"/>
        <w:numPr>
          <w:ilvl w:val="0"/>
          <w:numId w:val="2"/>
        </w:numPr>
        <w:spacing w:after="80"/>
      </w:pPr>
      <w:r>
        <w:rPr>
          <w:rFonts w:ascii="Arial" w:cs="Arial" w:eastAsia="Arial" w:hAnsi="Arial"/>
          <w:b/>
          <w:bCs/>
          <w:color w:val="2C3E50"/>
          <w:sz w:val="22"/>
          <w:szCs w:val="22"/>
        </w:rPr>
        <w:t xml:space="preserve">Connection: </w:t>
      </w:r>
      <w:r>
        <w:rPr>
          <w:rFonts w:ascii="Arial" w:cs="Arial" w:eastAsia="Arial" w:hAnsi="Arial"/>
          <w:color w:val="2C3E50"/>
          <w:sz w:val="22"/>
          <w:szCs w:val="22"/>
        </w:rPr>
        <w:t xml:space="preserve">WebSocket to Gateway (same protocol as CLI and web), pairing handshake with approval codes</w:t>
      </w:r>
    </w:p>
    <w:p>
      <w:pPr>
        <w:pStyle w:val="ListParagraph"/>
        <w:numPr>
          <w:ilvl w:val="0"/>
          <w:numId w:val="2"/>
        </w:numPr>
        <w:spacing w:after="80"/>
      </w:pPr>
      <w:r>
        <w:rPr>
          <w:rFonts w:ascii="Arial" w:cs="Arial" w:eastAsia="Arial" w:hAnsi="Arial"/>
          <w:b/>
          <w:bCs/>
          <w:color w:val="2C3E50"/>
          <w:sz w:val="22"/>
          <w:szCs w:val="22"/>
        </w:rPr>
        <w:t xml:space="preserve">Capabilities: </w:t>
      </w:r>
      <w:r>
        <w:rPr>
          <w:rFonts w:ascii="Arial" w:cs="Arial" w:eastAsia="Arial" w:hAnsi="Arial"/>
          <w:color w:val="2C3E50"/>
          <w:sz w:val="22"/>
          <w:szCs w:val="22"/>
        </w:rPr>
        <w:t xml:space="preserve">Camera/microphone, voice wake-word detection, canvas rendering, push notifications</w:t>
      </w:r>
    </w:p>
    <w:p>
      <w:pPr>
        <w:pStyle w:val="ListParagraph"/>
        <w:numPr>
          <w:ilvl w:val="0"/>
          <w:numId w:val="2"/>
        </w:numPr>
        <w:spacing w:after="80"/>
      </w:pPr>
      <w:r>
        <w:rPr>
          <w:rFonts w:ascii="Arial" w:cs="Arial" w:eastAsia="Arial" w:hAnsi="Arial"/>
          <w:b/>
          <w:bCs/>
          <w:color w:val="2C3E50"/>
          <w:sz w:val="22"/>
          <w:szCs w:val="22"/>
        </w:rPr>
        <w:t xml:space="preserve">Remote access: </w:t>
      </w:r>
      <w:r>
        <w:rPr>
          <w:rFonts w:ascii="Arial" w:cs="Arial" w:eastAsia="Arial" w:hAnsi="Arial"/>
          <w:color w:val="2C3E50"/>
          <w:sz w:val="22"/>
          <w:szCs w:val="22"/>
        </w:rPr>
        <w:t xml:space="preserve">Tailscale Serve/Funnel, SSH port forwarding, or TLS reverse proxies</w:t>
      </w:r>
    </w:p>
    <w:p>
      <w:r>
        <w:br w:type="page"/>
      </w:r>
    </w:p>
    <w:p>
      <w:pPr>
        <w:pStyle w:val="Heading1"/>
      </w:pPr>
      <w:r>
        <w:rPr>
          <w:rFonts w:ascii="Arial" w:cs="Arial" w:eastAsia="Arial" w:hAnsi="Arial"/>
          <w:b/>
          <w:bCs/>
        </w:rPr>
        <w:t xml:space="preserve">8. WebSocket Protocol: TypeBox Validation</w:t>
      </w:r>
    </w:p>
    <w:p>
      <w:pPr>
        <w:spacing w:after="160"/>
      </w:pPr>
      <w:r>
        <w:rPr>
          <w:rFonts w:ascii="Arial" w:cs="Arial" w:eastAsia="Arial" w:hAnsi="Arial"/>
          <w:color w:val="2C3E50"/>
          <w:sz w:val="22"/>
          <w:szCs w:val="22"/>
        </w:rPr>
        <w:t xml:space="preserve">All communication uses a strictly typed protocol defined in src/gateway/protocol/schema.ts:</w:t>
      </w:r>
    </w:p>
    <w:p>
      <w:pPr>
        <w:spacing w:after="80"/>
      </w:pPr>
    </w:p>
    <w:p>
      <w:pPr>
        <w:shd w:fill="F8F9FA" w:val="clear"/>
        <w:spacing w:after="60"/>
        <w:ind w:left="360"/>
      </w:pPr>
      <w:r>
        <w:rPr>
          <w:rFonts w:ascii="Courier New" w:cs="Courier New" w:eastAsia="Courier New" w:hAnsi="Courier New"/>
          <w:color w:val="34495E"/>
          <w:sz w:val="18"/>
          <w:szCs w:val="18"/>
        </w:rPr>
        <w:t xml:space="preserve">Request:  { "type": "req", "id": 1, "method": "tool.exec", "params": {...} }</w:t>
      </w:r>
    </w:p>
    <w:p>
      <w:pPr>
        <w:shd w:fill="F8F9FA" w:val="clear"/>
        <w:spacing w:after="60"/>
        <w:ind w:left="360"/>
      </w:pPr>
      <w:r>
        <w:rPr>
          <w:rFonts w:ascii="Courier New" w:cs="Courier New" w:eastAsia="Courier New" w:hAnsi="Courier New"/>
          <w:color w:val="34495E"/>
          <w:sz w:val="18"/>
          <w:szCs w:val="18"/>
        </w:rPr>
        <w:t xml:space="preserve">Response: { "type": "res", "id": 1, "ok": true, "payload": {...} }</w:t>
      </w:r>
    </w:p>
    <w:p>
      <w:pPr>
        <w:shd w:fill="F8F9FA" w:val="clear"/>
        <w:spacing w:after="60"/>
        <w:ind w:left="360"/>
      </w:pPr>
      <w:r>
        <w:rPr>
          <w:rFonts w:ascii="Courier New" w:cs="Courier New" w:eastAsia="Courier New" w:hAnsi="Courier New"/>
          <w:color w:val="34495E"/>
          <w:sz w:val="18"/>
          <w:szCs w:val="18"/>
        </w:rPr>
        <w:t xml:space="preserve">Event:    { "type": "event", "event": "message", "payload": {...}, "seq": 1 }</w:t>
      </w:r>
    </w:p>
    <w:p>
      <w:pPr>
        <w:spacing w:after="80"/>
      </w:pPr>
    </w:p>
    <w:p>
      <w:pPr>
        <w:spacing w:after="160"/>
      </w:pPr>
      <w:r>
        <w:rPr>
          <w:rFonts w:ascii="Arial" w:cs="Arial" w:eastAsia="Arial" w:hAnsi="Arial"/>
          <w:color w:val="2C3E50"/>
          <w:sz w:val="22"/>
          <w:szCs w:val="22"/>
        </w:rPr>
        <w:t xml:space="preserve">TypeBox schemas (Type.Object() with additionalProperties: false) validate every frame at runtime. The same definitions generate Swift types for the macOS app — single source of truth across platforms.</w:t>
      </w:r>
    </w:p>
    <w:p>
      <w:r>
        <w:br w:type="page"/>
      </w:r>
    </w:p>
    <w:p>
      <w:pPr>
        <w:pStyle w:val="Heading1"/>
      </w:pPr>
      <w:r>
        <w:rPr>
          <w:rFonts w:ascii="Arial" w:cs="Arial" w:eastAsia="Arial" w:hAnsi="Arial"/>
          <w:b/>
          <w:bCs/>
        </w:rPr>
        <w:t xml:space="preserve">9. Skills: Lazy Loading and Resolution</w:t>
      </w:r>
    </w:p>
    <w:p>
      <w:pPr>
        <w:spacing w:after="160"/>
      </w:pPr>
      <w:r>
        <w:rPr>
          <w:rFonts w:ascii="Arial" w:cs="Arial" w:eastAsia="Arial" w:hAnsi="Arial"/>
          <w:color w:val="2C3E50"/>
          <w:sz w:val="22"/>
          <w:szCs w:val="22"/>
        </w:rPr>
        <w:t xml:space="preserve">Skills resolve in priority order:</w:t>
      </w:r>
    </w:p>
    <w:p>
      <w:pPr>
        <w:pStyle w:val="ListParagraph"/>
        <w:numPr>
          <w:ilvl w:val="0"/>
          <w:numId w:val="3"/>
        </w:numPr>
        <w:spacing w:after="80"/>
      </w:pPr>
      <w:r>
        <w:rPr>
          <w:rFonts w:ascii="Arial" w:cs="Arial" w:eastAsia="Arial" w:hAnsi="Arial"/>
          <w:b/>
          <w:bCs/>
          <w:color w:val="2C3E50"/>
          <w:sz w:val="22"/>
          <w:szCs w:val="22"/>
        </w:rPr>
        <w:t xml:space="preserve">Workspace skills </w:t>
      </w:r>
      <w:r>
        <w:rPr>
          <w:rFonts w:ascii="Arial" w:cs="Arial" w:eastAsia="Arial" w:hAnsi="Arial"/>
          <w:color w:val="2C3E50"/>
          <w:sz w:val="22"/>
          <w:szCs w:val="22"/>
        </w:rPr>
        <w:t xml:space="preserve">— ~/.openclaw/workspace/skills/</w:t>
      </w:r>
    </w:p>
    <w:p>
      <w:pPr>
        <w:pStyle w:val="ListParagraph"/>
        <w:numPr>
          <w:ilvl w:val="0"/>
          <w:numId w:val="3"/>
        </w:numPr>
        <w:spacing w:after="80"/>
      </w:pPr>
      <w:r>
        <w:rPr>
          <w:rFonts w:ascii="Arial" w:cs="Arial" w:eastAsia="Arial" w:hAnsi="Arial"/>
          <w:b/>
          <w:bCs/>
          <w:color w:val="2C3E50"/>
          <w:sz w:val="22"/>
          <w:szCs w:val="22"/>
        </w:rPr>
        <w:t xml:space="preserve">Managed/local skills </w:t>
      </w:r>
      <w:r>
        <w:rPr>
          <w:rFonts w:ascii="Arial" w:cs="Arial" w:eastAsia="Arial" w:hAnsi="Arial"/>
          <w:color w:val="2C3E50"/>
          <w:sz w:val="22"/>
          <w:szCs w:val="22"/>
        </w:rPr>
        <w:t xml:space="preserve">— ~/.openclaw/managed-skills/</w:t>
      </w:r>
    </w:p>
    <w:p>
      <w:pPr>
        <w:pStyle w:val="ListParagraph"/>
        <w:numPr>
          <w:ilvl w:val="0"/>
          <w:numId w:val="3"/>
        </w:numPr>
        <w:spacing w:after="80"/>
      </w:pPr>
      <w:r>
        <w:rPr>
          <w:rFonts w:ascii="Arial" w:cs="Arial" w:eastAsia="Arial" w:hAnsi="Arial"/>
          <w:b/>
          <w:bCs/>
          <w:color w:val="2C3E50"/>
          <w:sz w:val="22"/>
          <w:szCs w:val="22"/>
        </w:rPr>
        <w:t xml:space="preserve">Bundled skills </w:t>
      </w:r>
      <w:r>
        <w:rPr>
          <w:rFonts w:ascii="Arial" w:cs="Arial" w:eastAsia="Arial" w:hAnsi="Arial"/>
          <w:color w:val="2C3E50"/>
          <w:sz w:val="22"/>
          <w:szCs w:val="22"/>
        </w:rPr>
        <w:t xml:space="preserve">— node_modules/openclaw/skills/</w:t>
      </w:r>
    </w:p>
    <w:p>
      <w:pPr>
        <w:pStyle w:val="ListParagraph"/>
        <w:numPr>
          <w:ilvl w:val="0"/>
          <w:numId w:val="3"/>
        </w:numPr>
        <w:spacing w:after="80"/>
      </w:pPr>
      <w:r>
        <w:rPr>
          <w:rFonts w:ascii="Arial" w:cs="Arial" w:eastAsia="Arial" w:hAnsi="Arial"/>
          <w:b/>
          <w:bCs/>
          <w:color w:val="2C3E50"/>
          <w:sz w:val="22"/>
          <w:szCs w:val="22"/>
        </w:rPr>
        <w:t xml:space="preserve">Extra directories </w:t>
      </w:r>
      <w:r>
        <w:rPr>
          <w:rFonts w:ascii="Arial" w:cs="Arial" w:eastAsia="Arial" w:hAnsi="Arial"/>
          <w:color w:val="2C3E50"/>
          <w:sz w:val="22"/>
          <w:szCs w:val="22"/>
        </w:rPr>
        <w:t xml:space="preserve">— configured via skills.load.extraDirs[]</w:t>
      </w:r>
    </w:p>
    <w:p>
      <w:pPr>
        <w:spacing w:after="80"/>
      </w:pPr>
    </w:p>
    <w:p>
      <w:pPr>
        <w:spacing w:after="160"/>
      </w:pPr>
      <w:r>
        <w:rPr>
          <w:rFonts w:ascii="Arial" w:cs="Arial" w:eastAsia="Arial" w:hAnsi="Arial"/>
          <w:color w:val="2C3E50"/>
          <w:sz w:val="22"/>
          <w:szCs w:val="22"/>
        </w:rPr>
        <w:t xml:space="preserve">On session start, OpenClaw snapshots eligible skills and caches the result with a version hash. Subsequent turns reuse the cached snapshot — no filesystem scan per turn. Skill metadata (file paths only) is injected into the prompt; actual SKILL.md loads on-demand via read_file.</w:t>
      </w:r>
    </w:p>
    <w:p>
      <w:r>
        <w:br w:type="page"/>
      </w:r>
    </w:p>
    <w:p>
      <w:pPr>
        <w:pStyle w:val="Heading1"/>
      </w:pPr>
      <w:r>
        <w:rPr>
          <w:rFonts w:ascii="Arial" w:cs="Arial" w:eastAsia="Arial" w:hAnsi="Arial"/>
          <w:b/>
          <w:bCs/>
        </w:rPr>
        <w:t xml:space="preserve">10. Pros and Cons</w:t>
      </w:r>
    </w:p>
    <w:p>
      <w:pPr>
        <w:pStyle w:val="Heading2"/>
      </w:pPr>
      <w:r>
        <w:rPr>
          <w:rFonts w:ascii="Arial" w:cs="Arial" w:eastAsia="Arial" w:hAnsi="Arial"/>
          <w:b/>
          <w:bCs/>
        </w:rPr>
        <w:t xml:space="preserve">What’s Good</w:t>
      </w:r>
    </w:p>
    <w:p>
      <w:pPr>
        <w:pStyle w:val="ListParagraph"/>
        <w:numPr>
          <w:ilvl w:val="0"/>
          <w:numId w:val="2"/>
        </w:numPr>
        <w:spacing w:after="80"/>
      </w:pPr>
      <w:r>
        <w:rPr>
          <w:rFonts w:ascii="Arial" w:cs="Arial" w:eastAsia="Arial" w:hAnsi="Arial"/>
          <w:b/>
          <w:bCs/>
          <w:color w:val="2C3E50"/>
          <w:sz w:val="22"/>
          <w:szCs w:val="22"/>
        </w:rPr>
        <w:t xml:space="preserve">Local-first, no cloud dependency. </w:t>
      </w:r>
      <w:r>
        <w:rPr>
          <w:rFonts w:ascii="Arial" w:cs="Arial" w:eastAsia="Arial" w:hAnsi="Arial"/>
          <w:color w:val="2C3E50"/>
          <w:sz w:val="22"/>
          <w:szCs w:val="22"/>
        </w:rPr>
        <w:t xml:space="preserve">The entire stack runs on SQLite on your machine. No vendor lock-in, no data leaving your network.</w:t>
      </w:r>
    </w:p>
    <w:p>
      <w:pPr>
        <w:pStyle w:val="ListParagraph"/>
        <w:numPr>
          <w:ilvl w:val="0"/>
          <w:numId w:val="2"/>
        </w:numPr>
        <w:spacing w:after="80"/>
      </w:pPr>
      <w:r>
        <w:rPr>
          <w:rFonts w:ascii="Arial" w:cs="Arial" w:eastAsia="Arial" w:hAnsi="Arial"/>
          <w:b/>
          <w:bCs/>
          <w:color w:val="2C3E50"/>
          <w:sz w:val="22"/>
          <w:szCs w:val="22"/>
        </w:rPr>
        <w:t xml:space="preserve">Inline tool execution. </w:t>
      </w:r>
      <w:r>
        <w:rPr>
          <w:rFonts w:ascii="Arial" w:cs="Arial" w:eastAsia="Arial" w:hAnsi="Arial"/>
          <w:color w:val="2C3E50"/>
          <w:sz w:val="22"/>
          <w:szCs w:val="22"/>
        </w:rPr>
        <w:t xml:space="preserve">Backfilling tool results into the streaming response without a stop-regenerate cycle reduces latency and feels responsive. Most frameworks use loop-and-restart.</w:t>
      </w:r>
    </w:p>
    <w:p>
      <w:pPr>
        <w:pStyle w:val="ListParagraph"/>
        <w:numPr>
          <w:ilvl w:val="0"/>
          <w:numId w:val="2"/>
        </w:numPr>
        <w:spacing w:after="80"/>
      </w:pPr>
      <w:r>
        <w:rPr>
          <w:rFonts w:ascii="Arial" w:cs="Arial" w:eastAsia="Arial" w:hAnsi="Arial"/>
          <w:b/>
          <w:bCs/>
          <w:color w:val="2C3E50"/>
          <w:sz w:val="22"/>
          <w:szCs w:val="22"/>
        </w:rPr>
        <w:t xml:space="preserve">Hybrid RAG on SQLite. </w:t>
      </w:r>
      <w:r>
        <w:rPr>
          <w:rFonts w:ascii="Arial" w:cs="Arial" w:eastAsia="Arial" w:hAnsi="Arial"/>
          <w:color w:val="2C3E50"/>
          <w:sz w:val="22"/>
          <w:szCs w:val="22"/>
        </w:rPr>
        <w:t xml:space="preserve">BM25 + vector in one database. No Pinecone, no Weaviate, no infrastructure overhead. The 70/30 blend handles both semantic and exact lookups.</w:t>
      </w:r>
    </w:p>
    <w:p>
      <w:pPr>
        <w:pStyle w:val="ListParagraph"/>
        <w:numPr>
          <w:ilvl w:val="0"/>
          <w:numId w:val="2"/>
        </w:numPr>
        <w:spacing w:after="80"/>
      </w:pPr>
      <w:r>
        <w:rPr>
          <w:rFonts w:ascii="Arial" w:cs="Arial" w:eastAsia="Arial" w:hAnsi="Arial"/>
          <w:b/>
          <w:bCs/>
          <w:color w:val="2C3E50"/>
          <w:sz w:val="22"/>
          <w:szCs w:val="22"/>
        </w:rPr>
        <w:t xml:space="preserve">Channel adapter pattern. </w:t>
      </w:r>
      <w:r>
        <w:rPr>
          <w:rFonts w:ascii="Arial" w:cs="Arial" w:eastAsia="Arial" w:hAnsi="Arial"/>
          <w:color w:val="2C3E50"/>
          <w:sz w:val="22"/>
          <w:szCs w:val="22"/>
        </w:rPr>
        <w:t xml:space="preserve">13+ protocols normalized into one envelope. Adding a channel means one adapter, not touching core.</w:t>
      </w:r>
    </w:p>
    <w:p>
      <w:pPr>
        <w:pStyle w:val="ListParagraph"/>
        <w:numPr>
          <w:ilvl w:val="0"/>
          <w:numId w:val="2"/>
        </w:numPr>
        <w:spacing w:after="80"/>
      </w:pPr>
      <w:r>
        <w:rPr>
          <w:rFonts w:ascii="Arial" w:cs="Arial" w:eastAsia="Arial" w:hAnsi="Arial"/>
          <w:b/>
          <w:bCs/>
          <w:color w:val="2C3E50"/>
          <w:sz w:val="22"/>
          <w:szCs w:val="22"/>
        </w:rPr>
        <w:t xml:space="preserve">TypeBox schema validation. </w:t>
      </w:r>
      <w:r>
        <w:rPr>
          <w:rFonts w:ascii="Arial" w:cs="Arial" w:eastAsia="Arial" w:hAnsi="Arial"/>
          <w:color w:val="2C3E50"/>
          <w:sz w:val="22"/>
          <w:szCs w:val="22"/>
        </w:rPr>
        <w:t xml:space="preserve">Single source of truth for types across TypeScript, WebSocket, and Swift. Runtime validation catches protocol errors.</w:t>
      </w:r>
    </w:p>
    <w:p>
      <w:pPr>
        <w:pStyle w:val="ListParagraph"/>
        <w:numPr>
          <w:ilvl w:val="0"/>
          <w:numId w:val="2"/>
        </w:numPr>
        <w:spacing w:after="80"/>
      </w:pPr>
      <w:r>
        <w:rPr>
          <w:rFonts w:ascii="Arial" w:cs="Arial" w:eastAsia="Arial" w:hAnsi="Arial"/>
          <w:b/>
          <w:bCs/>
          <w:color w:val="2C3E50"/>
          <w:sz w:val="22"/>
          <w:szCs w:val="22"/>
        </w:rPr>
        <w:t xml:space="preserve">Lane queue model. </w:t>
      </w:r>
      <w:r>
        <w:rPr>
          <w:rFonts w:ascii="Arial" w:cs="Arial" w:eastAsia="Arial" w:hAnsi="Arial"/>
          <w:color w:val="2C3E50"/>
          <w:sz w:val="22"/>
          <w:szCs w:val="22"/>
        </w:rPr>
        <w:t xml:space="preserve">Default-serial-per-session prevents corruption without sacrificing cross-session parallelism.</w:t>
      </w:r>
    </w:p>
    <w:p>
      <w:pPr>
        <w:spacing w:after="80"/>
      </w:pPr>
    </w:p>
    <w:p>
      <w:pPr>
        <w:pStyle w:val="Heading2"/>
      </w:pPr>
      <w:r>
        <w:rPr>
          <w:rFonts w:ascii="Arial" w:cs="Arial" w:eastAsia="Arial" w:hAnsi="Arial"/>
          <w:b/>
          <w:bCs/>
        </w:rPr>
        <w:t xml:space="preserve">What’s Not Great</w:t>
      </w:r>
    </w:p>
    <w:p>
      <w:pPr>
        <w:pStyle w:val="ListParagraph"/>
        <w:numPr>
          <w:ilvl w:val="0"/>
          <w:numId w:val="2"/>
        </w:numPr>
        <w:spacing w:after="80"/>
      </w:pPr>
      <w:r>
        <w:rPr>
          <w:rFonts w:ascii="Arial" w:cs="Arial" w:eastAsia="Arial" w:hAnsi="Arial"/>
          <w:b/>
          <w:bCs/>
          <w:color w:val="2C3E50"/>
          <w:sz w:val="22"/>
          <w:szCs w:val="22"/>
        </w:rPr>
        <w:t xml:space="preserve">No native cost controls. </w:t>
      </w:r>
      <w:r>
        <w:rPr>
          <w:rFonts w:ascii="Arial" w:cs="Arial" w:eastAsia="Arial" w:hAnsi="Arial"/>
          <w:color w:val="2C3E50"/>
          <w:sz w:val="22"/>
          <w:szCs w:val="22"/>
        </w:rPr>
        <w:t xml:space="preserve">Zero built-in budgets or limits for a system that can spawn unlimited sub-agents and API calls.</w:t>
      </w:r>
    </w:p>
    <w:p>
      <w:pPr>
        <w:pStyle w:val="ListParagraph"/>
        <w:numPr>
          <w:ilvl w:val="0"/>
          <w:numId w:val="2"/>
        </w:numPr>
        <w:spacing w:after="80"/>
      </w:pPr>
      <w:r>
        <w:rPr>
          <w:rFonts w:ascii="Arial" w:cs="Arial" w:eastAsia="Arial" w:hAnsi="Arial"/>
          <w:b/>
          <w:bCs/>
          <w:color w:val="2C3E50"/>
          <w:sz w:val="22"/>
          <w:szCs w:val="22"/>
        </w:rPr>
        <w:t xml:space="preserve">Single-process Gateway. </w:t>
      </w:r>
      <w:r>
        <w:rPr>
          <w:rFonts w:ascii="Arial" w:cs="Arial" w:eastAsia="Arial" w:hAnsi="Arial"/>
          <w:color w:val="2C3E50"/>
          <w:sz w:val="22"/>
          <w:szCs w:val="22"/>
        </w:rPr>
        <w:t xml:space="preserve">One process, one point of failure. No clustering, no horizontal scaling, no failover.</w:t>
      </w:r>
    </w:p>
    <w:p>
      <w:pPr>
        <w:pStyle w:val="ListParagraph"/>
        <w:numPr>
          <w:ilvl w:val="0"/>
          <w:numId w:val="2"/>
        </w:numPr>
        <w:spacing w:after="80"/>
      </w:pPr>
      <w:r>
        <w:rPr>
          <w:rFonts w:ascii="Arial" w:cs="Arial" w:eastAsia="Arial" w:hAnsi="Arial"/>
          <w:b/>
          <w:bCs/>
          <w:color w:val="2C3E50"/>
          <w:sz w:val="22"/>
          <w:szCs w:val="22"/>
        </w:rPr>
        <w:t xml:space="preserve">Native dependency complexity. </w:t>
      </w:r>
      <w:r>
        <w:rPr>
          <w:rFonts w:ascii="Arial" w:cs="Arial" w:eastAsia="Arial" w:hAnsi="Arial"/>
          <w:color w:val="2C3E50"/>
          <w:sz w:val="22"/>
          <w:szCs w:val="22"/>
        </w:rPr>
        <w:t xml:space="preserve">node-pty, sqlite-vec, node-llama-cpp, sharp — all require native compilation. Fragile across platforms.</w:t>
      </w:r>
    </w:p>
    <w:p>
      <w:pPr>
        <w:pStyle w:val="ListParagraph"/>
        <w:numPr>
          <w:ilvl w:val="0"/>
          <w:numId w:val="2"/>
        </w:numPr>
        <w:spacing w:after="80"/>
      </w:pPr>
      <w:r>
        <w:rPr>
          <w:rFonts w:ascii="Arial" w:cs="Arial" w:eastAsia="Arial" w:hAnsi="Arial"/>
          <w:b/>
          <w:bCs/>
          <w:color w:val="2C3E50"/>
          <w:sz w:val="22"/>
          <w:szCs w:val="22"/>
        </w:rPr>
        <w:t xml:space="preserve">Monorepo scale. </w:t>
      </w:r>
      <w:r>
        <w:rPr>
          <w:rFonts w:ascii="Arial" w:cs="Arial" w:eastAsia="Arial" w:hAnsi="Arial"/>
          <w:color w:val="2C3E50"/>
          <w:sz w:val="22"/>
          <w:szCs w:val="22"/>
        </w:rPr>
        <w:t xml:space="preserve">69+ modules. Navigation isn’t always obvious despite documentation.</w:t>
      </w:r>
    </w:p>
    <w:p>
      <w:pPr>
        <w:pStyle w:val="ListParagraph"/>
        <w:numPr>
          <w:ilvl w:val="0"/>
          <w:numId w:val="2"/>
        </w:numPr>
        <w:spacing w:after="80"/>
      </w:pPr>
      <w:r>
        <w:rPr>
          <w:rFonts w:ascii="Arial" w:cs="Arial" w:eastAsia="Arial" w:hAnsi="Arial"/>
          <w:b/>
          <w:bCs/>
          <w:color w:val="2C3E50"/>
          <w:sz w:val="22"/>
          <w:szCs w:val="22"/>
        </w:rPr>
        <w:t xml:space="preserve">Context file proliferation. </w:t>
      </w:r>
      <w:r>
        <w:rPr>
          <w:rFonts w:ascii="Arial" w:cs="Arial" w:eastAsia="Arial" w:hAnsi="Arial"/>
          <w:color w:val="2C3E50"/>
          <w:sz w:val="22"/>
          <w:szCs w:val="22"/>
        </w:rPr>
        <w:t xml:space="preserve">Seven .md files consumed on every turn eat tokens. The distinction between some (AGENTS.md vs IDENTITY.md) is unclear.</w:t>
      </w:r>
    </w:p>
    <w:p>
      <w:pPr>
        <w:pStyle w:val="ListParagraph"/>
        <w:numPr>
          <w:ilvl w:val="0"/>
          <w:numId w:val="2"/>
        </w:numPr>
        <w:spacing w:after="80"/>
      </w:pPr>
      <w:r>
        <w:rPr>
          <w:rFonts w:ascii="Arial" w:cs="Arial" w:eastAsia="Arial" w:hAnsi="Arial"/>
          <w:b/>
          <w:bCs/>
          <w:color w:val="2C3E50"/>
          <w:sz w:val="22"/>
          <w:szCs w:val="22"/>
        </w:rPr>
        <w:t xml:space="preserve">MCP integration is limited. </w:t>
      </w:r>
      <w:r>
        <w:rPr>
          <w:rFonts w:ascii="Arial" w:cs="Arial" w:eastAsia="Arial" w:hAnsi="Arial"/>
          <w:color w:val="2C3E50"/>
          <w:sz w:val="22"/>
          <w:szCs w:val="22"/>
        </w:rPr>
        <w:t xml:space="preserve">ACP disables MCP for HTTP/SSE transports. Workarounds exist but integration isn’t seamless.</w:t>
      </w:r>
    </w:p>
    <w:p>
      <w:r>
        <w:br w:type="page"/>
      </w:r>
    </w:p>
    <w:p>
      <w:pPr>
        <w:pStyle w:val="Heading1"/>
      </w:pPr>
      <w:r>
        <w:rPr>
          <w:rFonts w:ascii="Arial" w:cs="Arial" w:eastAsia="Arial" w:hAnsi="Arial"/>
          <w:b/>
          <w:bCs/>
        </w:rPr>
        <w:t xml:space="preserve">Bottom Line</w:t>
      </w:r>
    </w:p>
    <w:p>
      <w:pPr>
        <w:spacing w:after="160"/>
      </w:pPr>
      <w:r>
        <w:rPr>
          <w:rFonts w:ascii="Arial" w:cs="Arial" w:eastAsia="Arial" w:hAnsi="Arial"/>
          <w:color w:val="2C3E50"/>
          <w:sz w:val="22"/>
          <w:szCs w:val="22"/>
        </w:rPr>
        <w:t xml:space="preserve">OpenClaw’s architecture is that of a well-engineered personal infrastructure project that grew into something much bigger. The Pi agent core — minimal, stream-first, inline tool execution — is genuinely good design. The SQLite-powered hybrid RAG is pragmatic and effective. The channel adapter pattern scales well.</w:t>
      </w:r>
    </w:p>
    <w:p>
      <w:pPr>
        <w:spacing w:after="160"/>
      </w:pPr>
      <w:r>
        <w:rPr>
          <w:rFonts w:ascii="Arial" w:cs="Arial" w:eastAsia="Arial" w:hAnsi="Arial"/>
          <w:color w:val="2C3E50"/>
          <w:sz w:val="22"/>
          <w:szCs w:val="22"/>
        </w:rPr>
        <w:t xml:space="preserve">The weaknesses are what you’d expect from a project that started as one person’s assistant: single-process, no cost controls, complex native dependencies, and a configuration surface that’s grown organically rather than being designed top-down. None of these are fatal — they’re the natural tradeoffs of a local-first system optimized for power users over enterprise deployments.</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F8C8D"/>
        <w:sz w:val="18"/>
        <w:szCs w:val="18"/>
      </w:rPr>
      <w:t xml:space="preserve">Page </w:t>
    </w:r>
    <w:r>
      <w:rPr>
        <w:rFonts w:ascii="Arial" w:cs="Arial" w:eastAsia="Arial" w:hAnsi="Arial"/>
        <w:color w:val="7F8C8D"/>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7F8C8D"/>
        <w:sz w:val="18"/>
        <w:szCs w:val="18"/>
      </w:rPr>
      <w:t xml:space="preserve">OpenClaw Architecture — Pi Agent Implementation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200"/>
      <w:outlineLvl w:val="0"/>
    </w:pPr>
    <w:rPr>
      <w:rFonts w:ascii="Arial" w:cs="Arial" w:eastAsia="Arial" w:hAnsi="Arial"/>
      <w:b/>
      <w:bCs/>
      <w:color w:val="1A5276"/>
      <w:sz w:val="36"/>
      <w:szCs w:val="36"/>
    </w:rPr>
  </w:style>
  <w:style w:type="paragraph" w:styleId="Heading2">
    <w:name w:val="Heading 2"/>
    <w:basedOn w:val="Normal"/>
    <w:next w:val="Normal"/>
    <w:qFormat/>
    <w:pPr>
      <w:spacing w:before="280" w:after="160"/>
      <w:outlineLvl w:val="1"/>
    </w:pPr>
    <w:rPr>
      <w:rFonts w:ascii="Arial" w:cs="Arial" w:eastAsia="Arial" w:hAnsi="Arial"/>
      <w:b/>
      <w:bCs/>
      <w:color w:val="2C3E50"/>
      <w:sz w:val="30"/>
      <w:szCs w:val="30"/>
    </w:rPr>
  </w:style>
  <w:style w:type="paragraph" w:styleId="Heading3">
    <w:name w:val="Heading 3"/>
    <w:basedOn w:val="Normal"/>
    <w:next w:val="Normal"/>
    <w:qFormat/>
    <w:pPr>
      <w:spacing w:before="200" w:after="120"/>
      <w:outlineLvl w:val="2"/>
    </w:pPr>
    <w:rPr>
      <w:rFonts w:ascii="Arial" w:cs="Arial" w:eastAsia="Arial" w:hAnsi="Arial"/>
      <w:b/>
      <w:bCs/>
      <w:color w:val="1A527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2026-02-14T16:41:01.812Z</dcterms:created>
  <dcterms:modified xsi:type="dcterms:W3CDTF">2026-02-14T16:41:01.812Z</dcterms:modified>
</cp:coreProperties>
</file>

<file path=docProps/custom.xml><?xml version="1.0" encoding="utf-8"?>
<Properties xmlns="http://schemas.openxmlformats.org/officeDocument/2006/custom-properties" xmlns:vt="http://schemas.openxmlformats.org/officeDocument/2006/docPropsVTypes"/>
</file>