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7zc81fzsob3" w:id="0"/>
      <w:bookmarkEnd w:id="0"/>
      <w:r w:rsidDel="00000000" w:rsidR="00000000" w:rsidRPr="00000000">
        <w:rPr>
          <w:rtl w:val="0"/>
        </w:rPr>
        <w:t xml:space="preserve">Lab 12: Black Box Test Plan</w:t>
      </w:r>
    </w:p>
    <w:p w:rsidR="00000000" w:rsidDel="00000000" w:rsidP="00000000" w:rsidRDefault="00000000" w:rsidRPr="00000000">
      <w:pPr>
        <w:pStyle w:val="Heading2"/>
        <w:pBdr/>
        <w:contextualSpacing w:val="0"/>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run the tests: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Right click on PackSchedulerGUI class in the Package Explorer.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Select Run As &gt; Java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tests files should be located in the test-files/ folder.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parmykwa27z" w:id="2"/>
      <w:bookmarkEnd w:id="2"/>
      <w:r w:rsidDel="00000000" w:rsidR="00000000" w:rsidRPr="00000000">
        <w:rPr>
          <w:rtl w:val="0"/>
        </w:rPr>
        <w:t xml:space="preserve">Test Initialization</w:t>
      </w:r>
    </w:p>
    <w:p w:rsidR="00000000" w:rsidDel="00000000" w:rsidP="00000000" w:rsidRDefault="00000000" w:rsidRPr="00000000">
      <w:pPr>
        <w:pBdr/>
        <w:contextualSpacing w:val="0"/>
        <w:rPr/>
      </w:pPr>
      <w:r w:rsidDel="00000000" w:rsidR="00000000" w:rsidRPr="00000000">
        <w:rPr>
          <w:rtl w:val="0"/>
        </w:rPr>
        <w:t xml:space="preserve">Each test should start with the following steps: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Log in as a registrar using the id “registrar” and password “Regi5tr@r”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on Student Directory button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on Load Student Directory button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Load test-files/student_records.txt.  Click Select button.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Faculty Directory button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on Load Faculty Directory button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Load test-files/faculty_records_extended.txt. Click Select button.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Course Catalog button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 on Load Course Catalog button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Load test-files/course_records.txt.  Click Select button.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Logout.</w:t>
      </w:r>
    </w:p>
    <w:p w:rsidR="00000000" w:rsidDel="00000000" w:rsidP="00000000" w:rsidRDefault="00000000" w:rsidRPr="00000000">
      <w:pPr>
        <w:pBdr/>
        <w:contextualSpacing w:val="0"/>
        <w:rPr/>
      </w:pPr>
      <w:r w:rsidDel="00000000" w:rsidR="00000000" w:rsidRPr="00000000">
        <w:rPr>
          <w:rtl w:val="0"/>
        </w:rPr>
        <w:t xml:space="preserve">.</w:t>
      </w:r>
    </w:p>
    <w:tbl>
      <w:tblPr>
        <w:tblStyle w:val="Table1"/>
        <w:bidiVisual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