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bookmarkStart w:id="0" w:name="_GoBack"/>
      <w:bookmarkEnd w:id="0"/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EE18AB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47870" w:history="1">
            <w:r w:rsidR="00EE18AB" w:rsidRPr="00403A2B">
              <w:rPr>
                <w:rStyle w:val="Hyperlink"/>
                <w:noProof/>
              </w:rPr>
              <w:t>Real-Time Systems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_Toc436247870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2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1" w:history="1">
            <w:r w:rsidR="00EE18AB" w:rsidRPr="00403A2B">
              <w:rPr>
                <w:rStyle w:val="Hyperlink"/>
                <w:noProof/>
              </w:rPr>
              <w:t>Classifications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_Toc436247871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2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2" w:history="1">
            <w:r w:rsidR="00EE18AB" w:rsidRPr="00403A2B">
              <w:rPr>
                <w:rStyle w:val="Hyperlink"/>
                <w:noProof/>
              </w:rPr>
              <w:t>Difference Equations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_Toc436247872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2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3" w:history="1">
            <w:r w:rsidR="00EE18AB" w:rsidRPr="00403A2B">
              <w:rPr>
                <w:rStyle w:val="Hyperlink"/>
                <w:noProof/>
              </w:rPr>
              <w:t>e.g.)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_Toc436247873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2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4" w:history="1">
            <w:r w:rsidR="00EE18AB" w:rsidRPr="00403A2B">
              <w:rPr>
                <w:rStyle w:val="Hyperlink"/>
                <w:noProof/>
              </w:rPr>
              <w:t>Task optimization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_Toc436247874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3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5" w:history="1">
            <w:r w:rsidR="00EE18AB" w:rsidRPr="00403A2B">
              <w:rPr>
                <w:rStyle w:val="Hyperlink"/>
                <w:noProof/>
              </w:rPr>
              <w:t>Types of Scheduling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_Toc436247875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3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6" w:history="1">
            <w:r w:rsidR="00EE18AB" w:rsidRPr="00403A2B">
              <w:rPr>
                <w:rStyle w:val="Hyperlink"/>
                <w:noProof/>
              </w:rPr>
              <w:t>Static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_Toc436247876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3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7" w:history="1">
            <w:r w:rsidR="00EE18AB" w:rsidRPr="00403A2B">
              <w:rPr>
                <w:rStyle w:val="Hyperlink"/>
                <w:noProof/>
              </w:rPr>
              <w:t>FIFO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_Toc436247877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3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8" w:history="1">
            <w:r w:rsidR="00EE18AB" w:rsidRPr="00403A2B">
              <w:rPr>
                <w:rStyle w:val="Hyperlink"/>
                <w:noProof/>
              </w:rPr>
              <w:t>Dynamic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_Toc436247878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4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79" w:history="1">
            <w:r w:rsidR="00EE18AB" w:rsidRPr="00403A2B">
              <w:rPr>
                <w:rStyle w:val="Hyperlink"/>
                <w:noProof/>
              </w:rPr>
              <w:t>Multiprocessor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_Toc436247879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5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0" w:history="1">
            <w:r w:rsidR="00EE18AB" w:rsidRPr="00403A2B">
              <w:rPr>
                <w:rStyle w:val="Hyperlink"/>
                <w:noProof/>
              </w:rPr>
              <w:t>Task Interactions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_Toc436247880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5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1" w:history="1">
            <w:r w:rsidR="00EE18AB" w:rsidRPr="00403A2B">
              <w:rPr>
                <w:rStyle w:val="Hyperlink"/>
                <w:noProof/>
              </w:rPr>
              <w:t>Sporadic Server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_Toc436247881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6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2" w:history="1">
            <w:r w:rsidR="00EE18AB" w:rsidRPr="00403A2B">
              <w:rPr>
                <w:rStyle w:val="Hyperlink"/>
                <w:noProof/>
              </w:rPr>
              <w:t>Clocks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_Toc436247882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7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3" w:history="1">
            <w:r w:rsidR="00EE18AB" w:rsidRPr="00403A2B">
              <w:rPr>
                <w:rStyle w:val="Hyperlink"/>
                <w:noProof/>
              </w:rPr>
              <w:t>Cristian’s Algorithm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_Toc436247883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8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4" w:history="1">
            <w:r w:rsidR="00EE18AB" w:rsidRPr="00403A2B">
              <w:rPr>
                <w:rStyle w:val="Hyperlink"/>
                <w:noProof/>
              </w:rPr>
              <w:t>Berkeley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_Toc436247884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8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5" w:history="1">
            <w:r w:rsidR="00EE18AB" w:rsidRPr="00403A2B">
              <w:rPr>
                <w:rStyle w:val="Hyperlink"/>
                <w:noProof/>
              </w:rPr>
              <w:t>PID Control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_Toc436247885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8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6" w:history="1">
            <w:r w:rsidR="00EE18AB" w:rsidRPr="00403A2B">
              <w:rPr>
                <w:rStyle w:val="Hyperlink"/>
                <w:noProof/>
              </w:rPr>
              <w:t>Sampling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_Toc436247886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9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7" w:history="1">
            <w:r w:rsidR="00EE18AB" w:rsidRPr="00403A2B">
              <w:rPr>
                <w:rStyle w:val="Hyperlink"/>
                <w:noProof/>
              </w:rPr>
              <w:t>Designing a PID Controller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_Toc436247887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9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8" w:history="1">
            <w:r w:rsidR="00EE18AB" w:rsidRPr="00403A2B">
              <w:rPr>
                <w:rStyle w:val="Hyperlink"/>
                <w:noProof/>
              </w:rPr>
              <w:t>Jitter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_Toc436247888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10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89" w:history="1">
            <w:r w:rsidR="00EE18AB" w:rsidRPr="00403A2B">
              <w:rPr>
                <w:rStyle w:val="Hyperlink"/>
                <w:noProof/>
              </w:rPr>
              <w:t>Fail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_Toc436247889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10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90" w:history="1">
            <w:r w:rsidR="00EE18AB" w:rsidRPr="00403A2B">
              <w:rPr>
                <w:rStyle w:val="Hyperlink"/>
                <w:noProof/>
              </w:rPr>
              <w:t>Voting Schemes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_Toc436247890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10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EE18AB" w:rsidRDefault="00164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891" w:history="1">
            <w:r w:rsidR="00EE18AB" w:rsidRPr="00403A2B">
              <w:rPr>
                <w:rStyle w:val="Hyperlink"/>
                <w:noProof/>
              </w:rPr>
              <w:t>Information Redundancy</w:t>
            </w:r>
            <w:r w:rsidR="00EE18AB">
              <w:rPr>
                <w:noProof/>
                <w:webHidden/>
              </w:rPr>
              <w:tab/>
            </w:r>
            <w:r w:rsidR="00EE18AB">
              <w:rPr>
                <w:noProof/>
                <w:webHidden/>
              </w:rPr>
              <w:fldChar w:fldCharType="begin"/>
            </w:r>
            <w:r w:rsidR="00EE18AB">
              <w:rPr>
                <w:noProof/>
                <w:webHidden/>
              </w:rPr>
              <w:instrText xml:space="preserve"> PAGEREF _Toc436247891 \h </w:instrText>
            </w:r>
            <w:r w:rsidR="00EE18AB">
              <w:rPr>
                <w:noProof/>
                <w:webHidden/>
              </w:rPr>
            </w:r>
            <w:r w:rsidR="00EE18AB">
              <w:rPr>
                <w:noProof/>
                <w:webHidden/>
              </w:rPr>
              <w:fldChar w:fldCharType="separate"/>
            </w:r>
            <w:r w:rsidR="00934101">
              <w:rPr>
                <w:noProof/>
                <w:webHidden/>
              </w:rPr>
              <w:t>11</w:t>
            </w:r>
            <w:r w:rsidR="00EE18AB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6247870"/>
      <w:r>
        <w:lastRenderedPageBreak/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6247871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pt;height:20pt" o:ole="">
            <v:imagedata r:id="rId9" o:title=""/>
          </v:shape>
          <o:OLEObject Type="Embed" ProgID="Equation.DSMT4" ShapeID="_x0000_i1025" DrawAspect="Content" ObjectID="_1510240277" r:id="rId10"/>
        </w:object>
      </w:r>
    </w:p>
    <w:p w:rsidR="00FA1809" w:rsidRDefault="00FA1809" w:rsidP="00FA1809">
      <w:pPr>
        <w:pStyle w:val="Heading2"/>
      </w:pPr>
      <w:bookmarkStart w:id="3" w:name="_Toc436247872"/>
      <w:r>
        <w:t>Difference Equations</w:t>
      </w:r>
      <w:bookmarkEnd w:id="3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.25pt" o:ole="">
            <v:imagedata r:id="rId11" o:title=""/>
          </v:shape>
          <o:OLEObject Type="Embed" ProgID="Equation.DSMT4" ShapeID="_x0000_i1026" DrawAspect="Content" ObjectID="_1510240278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3pt;height:33.25pt" o:ole="">
            <v:imagedata r:id="rId13" o:title=""/>
          </v:shape>
          <o:OLEObject Type="Embed" ProgID="Equation.DSMT4" ShapeID="_x0000_i1027" DrawAspect="Content" ObjectID="_1510240279" r:id="rId14"/>
        </w:object>
      </w:r>
    </w:p>
    <w:p w:rsidR="00FA1809" w:rsidRDefault="00FA1809" w:rsidP="00FA1809">
      <w:pPr>
        <w:pStyle w:val="Heading3"/>
      </w:pPr>
      <w:bookmarkStart w:id="4" w:name="_Toc436247873"/>
      <w:r>
        <w:t>e.g.)</w:t>
      </w:r>
      <w:bookmarkEnd w:id="4"/>
    </w:p>
    <w:p w:rsidR="00613410" w:rsidRDefault="00FA1809" w:rsidP="00AD21FE">
      <w:pPr>
        <w:pStyle w:val="NoSpacing"/>
      </w:pPr>
      <w:r>
        <w:t>u[n] – u[n–1] = 48e[n] – 40e[n–1]</w:t>
      </w:r>
    </w:p>
    <w:p w:rsidR="00FA1809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9pt;height:96pt" o:ole="">
            <v:imagedata r:id="rId15" o:title=""/>
          </v:shape>
          <o:OLEObject Type="Embed" ProgID="Equation.DSMT4" ShapeID="_x0000_i1028" DrawAspect="Content" ObjectID="_1510240280" r:id="rId16"/>
        </w:object>
      </w:r>
      <w:r w:rsidR="0066213D">
        <w:t>Group:</w:t>
      </w:r>
    </w:p>
    <w:p w:rsidR="0066213D" w:rsidRDefault="0066213D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pt;height:38pt" o:ole="">
            <v:imagedata r:id="rId17" o:title=""/>
          </v:shape>
          <o:OLEObject Type="Embed" ProgID="Equation.DSMT4" ShapeID="_x0000_i1029" DrawAspect="Content" ObjectID="_1510240281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2pt;height:91pt" o:ole="">
            <v:imagedata r:id="rId19" o:title=""/>
          </v:shape>
          <o:OLEObject Type="Embed" ProgID="Equation.DSMT4" ShapeID="_x0000_i1030" DrawAspect="Content" ObjectID="_1510240282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8pt" o:ole="">
            <v:imagedata r:id="rId21" o:title=""/>
          </v:shape>
          <o:OLEObject Type="Embed" ProgID="Equation.DSMT4" ShapeID="_x0000_i1031" DrawAspect="Content" ObjectID="_1510240283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75pt;height:19pt" o:ole="">
            <v:imagedata r:id="rId23" o:title=""/>
          </v:shape>
          <o:OLEObject Type="Embed" ProgID="Equation.DSMT4" ShapeID="_x0000_i1032" DrawAspect="Content" ObjectID="_1510240284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7pt;height:54.25pt" o:ole="">
            <v:imagedata r:id="rId25" o:title=""/>
          </v:shape>
          <o:OLEObject Type="Embed" ProgID="Equation.DSMT4" ShapeID="_x0000_i1033" DrawAspect="Content" ObjectID="_1510240285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25pt;height:54.25pt" o:ole="">
            <v:imagedata r:id="rId27" o:title=""/>
          </v:shape>
          <o:OLEObject Type="Embed" ProgID="Equation.DSMT4" ShapeID="_x0000_i1034" DrawAspect="Content" ObjectID="_1510240286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100pt;height:83pt" o:ole="">
            <v:imagedata r:id="rId29" o:title=""/>
          </v:shape>
          <o:OLEObject Type="Embed" ProgID="Equation.DSMT4" ShapeID="_x0000_i1035" DrawAspect="Content" ObjectID="_1510240287" r:id="rId30"/>
        </w:object>
      </w:r>
    </w:p>
    <w:p w:rsidR="00AD21FE" w:rsidRDefault="00FC455E" w:rsidP="00FC455E">
      <w:pPr>
        <w:pStyle w:val="Heading1"/>
      </w:pPr>
      <w:bookmarkStart w:id="5" w:name="_Toc436247874"/>
      <w:r>
        <w:t>Task optimization</w:t>
      </w:r>
      <w:bookmarkEnd w:id="5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80.25pt;height:19.75pt" o:ole="">
            <v:imagedata r:id="rId31" o:title=""/>
          </v:shape>
          <o:OLEObject Type="Embed" ProgID="Equation.DSMT4" ShapeID="_x0000_i1036" DrawAspect="Content" ObjectID="_1510240288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37" type="#_x0000_t75" style="width:52pt;height:35pt" o:ole="">
            <v:imagedata r:id="rId33" o:title=""/>
          </v:shape>
          <o:OLEObject Type="Embed" ProgID="Equation.DSMT4" ShapeID="_x0000_i1037" DrawAspect="Content" ObjectID="_1510240289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6" w:name="_Toc436247875"/>
      <w:r>
        <w:t>Types of Scheduling</w:t>
      </w:r>
      <w:bookmarkEnd w:id="6"/>
    </w:p>
    <w:p w:rsidR="001C2A39" w:rsidRDefault="001C2A39" w:rsidP="001C2A39">
      <w:pPr>
        <w:pStyle w:val="Heading2"/>
      </w:pPr>
      <w:bookmarkStart w:id="7" w:name="_Toc436247876"/>
      <w:r>
        <w:t>Static</w:t>
      </w:r>
      <w:bookmarkEnd w:id="7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8" w:name="_Toc436247877"/>
      <w:r w:rsidRPr="00703D70">
        <w:t>FIFO</w:t>
      </w:r>
      <w:bookmarkEnd w:id="8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lastRenderedPageBreak/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3.75pt;height:27pt" o:ole="">
            <v:imagedata r:id="rId35" o:title=""/>
          </v:shape>
          <o:OLEObject Type="Embed" ProgID="Equation.DSMT4" ShapeID="_x0000_i1038" DrawAspect="Content" ObjectID="_1510240290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75pt;height:26.25pt" o:ole="">
            <v:imagedata r:id="rId37" o:title=""/>
          </v:shape>
          <o:OLEObject Type="Embed" ProgID="Equation.DSMT4" ShapeID="_x0000_i1039" DrawAspect="Content" ObjectID="_1510240291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9" w:name="_Toc436247878"/>
      <w:r>
        <w:t>Dynamic</w:t>
      </w:r>
      <w:bookmarkEnd w:id="9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10" w:name="_Toc436247879"/>
      <w:r>
        <w:lastRenderedPageBreak/>
        <w:t>Multiprocessor</w:t>
      </w:r>
      <w:bookmarkEnd w:id="10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1" w:name="_Toc436247880"/>
      <w:r>
        <w:t>Task Interactions</w:t>
      </w:r>
      <w:bookmarkEnd w:id="11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lastRenderedPageBreak/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2" w:name="_Toc436247881"/>
      <w:r>
        <w:t>Sporadic Server</w:t>
      </w:r>
      <w:bookmarkEnd w:id="12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  <w:r w:rsidR="00DB164C">
        <w:t xml:space="preserve"> delay before the task is released</w:t>
      </w:r>
      <w:r w:rsidR="00A408E5">
        <w:t xml:space="preserve"> to be executed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  <w:r w:rsidR="00777A79">
        <w:t xml:space="preserve"> (a.k.a. aperiodic)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25pt;height:38pt" o:ole="">
            <v:imagedata r:id="rId39" o:title=""/>
          </v:shape>
          <o:OLEObject Type="Embed" ProgID="Equation.DSMT4" ShapeID="_x0000_i1040" DrawAspect="Content" ObjectID="_1510240292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3" w:name="_Toc436247882"/>
      <w:r>
        <w:t>Clocks</w:t>
      </w:r>
      <w:bookmarkEnd w:id="13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8pt" o:ole="">
            <v:imagedata r:id="rId41" o:title=""/>
          </v:shape>
          <o:OLEObject Type="Embed" ProgID="Equation.DSMT4" ShapeID="_x0000_i1041" DrawAspect="Content" ObjectID="_1510240293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lastRenderedPageBreak/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1pt;height:38pt" o:ole="">
            <v:imagedata r:id="rId43" o:title=""/>
          </v:shape>
          <o:OLEObject Type="Embed" ProgID="Equation.DSMT4" ShapeID="_x0000_i1042" DrawAspect="Content" ObjectID="_1510240294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4" w:name="_Toc436247883"/>
      <w:r>
        <w:t>Cristian’s Algorithm</w:t>
      </w:r>
      <w:bookmarkEnd w:id="14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9pt;height:31pt" o:ole="">
            <v:imagedata r:id="rId45" o:title=""/>
          </v:shape>
          <o:OLEObject Type="Embed" ProgID="Equation.DSMT4" ShapeID="_x0000_i1043" DrawAspect="Content" ObjectID="_1510240295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1pt;height:31pt" o:ole="">
            <v:imagedata r:id="rId47" o:title=""/>
          </v:shape>
          <o:OLEObject Type="Embed" ProgID="Equation.DSMT4" ShapeID="_x0000_i1044" DrawAspect="Content" ObjectID="_1510240296" r:id="rId48"/>
        </w:object>
      </w:r>
    </w:p>
    <w:p w:rsidR="005814B5" w:rsidRDefault="005814B5" w:rsidP="007332B5">
      <w:pPr>
        <w:pStyle w:val="NoSpacing"/>
      </w:pPr>
      <w:r>
        <w:rPr>
          <w:b/>
        </w:rPr>
        <w:t xml:space="preserve">Round Trip Time </w:t>
      </w:r>
      <w:r w:rsidRPr="005814B5">
        <w:rPr>
          <w:b/>
        </w:rPr>
        <w:t>(RTT)</w:t>
      </w:r>
      <w:r>
        <w:t>:</w:t>
      </w:r>
    </w:p>
    <w:p w:rsidR="007332B5" w:rsidRDefault="007332B5" w:rsidP="007332B5">
      <w:pPr>
        <w:pStyle w:val="Heading2"/>
      </w:pPr>
      <w:bookmarkStart w:id="15" w:name="_Toc436247884"/>
      <w:r>
        <w:t>Berkeley</w:t>
      </w:r>
      <w:bookmarkEnd w:id="15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6" w:name="_Toc436247885"/>
      <w:r>
        <w:t>PID Control</w:t>
      </w:r>
      <w:bookmarkEnd w:id="16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4.75pt;height:31pt" o:ole="">
            <v:imagedata r:id="rId50" o:title=""/>
          </v:shape>
          <o:OLEObject Type="Embed" ProgID="Equation.DSMT4" ShapeID="_x0000_i1045" DrawAspect="Content" ObjectID="_1510240297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46" type="#_x0000_t75" style="width:100pt;height:38.75pt" o:ole="">
            <v:imagedata r:id="rId53" o:title=""/>
          </v:shape>
          <o:OLEObject Type="Embed" ProgID="Equation.DSMT4" ShapeID="_x0000_i1046" DrawAspect="Content" ObjectID="_1510240298" r:id="rId54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lastRenderedPageBreak/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47" type="#_x0000_t75" style="width:132.25pt;height:38.75pt" o:ole="">
            <v:imagedata r:id="rId55" o:title=""/>
          </v:shape>
          <o:OLEObject Type="Embed" ProgID="Equation.DSMT4" ShapeID="_x0000_i1047" DrawAspect="Content" ObjectID="_1510240299" r:id="rId56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48" type="#_x0000_t75" style="width:134.75pt;height:38.75pt" o:ole="">
            <v:imagedata r:id="rId57" o:title=""/>
          </v:shape>
          <o:OLEObject Type="Embed" ProgID="Equation.DSMT4" ShapeID="_x0000_i1048" DrawAspect="Content" ObjectID="_1510240300" r:id="rId58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49" type="#_x0000_t75" style="width:156.75pt;height:40pt" o:ole="">
            <v:imagedata r:id="rId59" o:title=""/>
          </v:shape>
          <o:OLEObject Type="Embed" ProgID="Equation.DSMT4" ShapeID="_x0000_i1049" DrawAspect="Content" ObjectID="_1510240301" r:id="rId60"/>
        </w:object>
      </w:r>
      <w:r w:rsidR="00C6537F" w:rsidRPr="00C6537F">
        <w:rPr>
          <w:position w:val="-36"/>
        </w:rPr>
        <w:object w:dxaOrig="3379" w:dyaOrig="800">
          <v:shape id="_x0000_i1050" type="#_x0000_t75" style="width:169pt;height:40pt" o:ole="">
            <v:imagedata r:id="rId61" o:title=""/>
          </v:shape>
          <o:OLEObject Type="Embed" ProgID="Equation.DSMT4" ShapeID="_x0000_i1050" DrawAspect="Content" ObjectID="_1510240302" r:id="rId62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51" type="#_x0000_t75" style="width:180pt;height:26pt" o:ole="">
            <v:imagedata r:id="rId63" o:title=""/>
          </v:shape>
          <o:OLEObject Type="Embed" ProgID="Equation.DSMT4" ShapeID="_x0000_i1051" DrawAspect="Content" ObjectID="_1510240303" r:id="rId64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01781E" w:rsidRDefault="0001781E" w:rsidP="00AE0C06">
      <w:pPr>
        <w:pStyle w:val="Heading2"/>
      </w:pPr>
      <w:bookmarkStart w:id="17" w:name="_Toc436247886"/>
      <w:r>
        <w:t>Sampling</w:t>
      </w:r>
      <w:bookmarkEnd w:id="17"/>
    </w:p>
    <w:p w:rsidR="00AE0C06" w:rsidRDefault="00AE0C06" w:rsidP="00AE0C06">
      <w:pPr>
        <w:pStyle w:val="NoSpacing"/>
      </w:pPr>
      <w:r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1781E" w:rsidP="0001781E">
      <w:pPr>
        <w:pStyle w:val="NoSpacing"/>
      </w:pPr>
      <w:r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1D6C96" w:rsidRDefault="00AE0C06" w:rsidP="0001781E">
      <w:pPr>
        <w:pStyle w:val="NoSpacing"/>
      </w:pPr>
      <w:r>
        <w:t>T</w:t>
      </w:r>
      <w:r>
        <w:rPr>
          <w:vertAlign w:val="subscript"/>
        </w:rPr>
        <w:t>s</w:t>
      </w:r>
      <w:r>
        <w:t xml:space="preserve"> ≈ </w:t>
      </w:r>
      <w:r w:rsidRPr="00AE0C06">
        <w:rPr>
          <w:position w:val="-24"/>
        </w:rPr>
        <w:object w:dxaOrig="1760" w:dyaOrig="620">
          <v:shape id="_x0000_i1052" type="#_x0000_t75" style="width:88pt;height:31pt" o:ole="">
            <v:imagedata r:id="rId65" o:title=""/>
          </v:shape>
          <o:OLEObject Type="Embed" ProgID="Equation.DSMT4" ShapeID="_x0000_i1052" DrawAspect="Content" ObjectID="_1510240304" r:id="rId66"/>
        </w:object>
      </w:r>
    </w:p>
    <w:p w:rsidR="001D6C96" w:rsidRPr="0001781E" w:rsidRDefault="001D6C96" w:rsidP="0001781E">
      <w:pPr>
        <w:pStyle w:val="NoSpacing"/>
        <w:rPr>
          <w:b/>
        </w:rPr>
      </w:pPr>
    </w:p>
    <w:p w:rsidR="00960707" w:rsidRDefault="00960707" w:rsidP="00960707">
      <w:pPr>
        <w:pStyle w:val="Heading2"/>
      </w:pPr>
      <w:bookmarkStart w:id="18" w:name="_Toc436247887"/>
      <w:r>
        <w:t>Designing a PID Controller</w:t>
      </w:r>
      <w:bookmarkEnd w:id="18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lastRenderedPageBreak/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3" type="#_x0000_t75" style="width:109.25pt;height:37pt" o:ole="">
            <v:imagedata r:id="rId67" o:title=""/>
          </v:shape>
          <o:OLEObject Type="Embed" ProgID="Equation.DSMT4" ShapeID="_x0000_i1053" DrawAspect="Content" ObjectID="_1510240305" r:id="rId68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4" type="#_x0000_t75" style="width:113pt;height:67pt" o:ole="">
            <v:imagedata r:id="rId69" o:title=""/>
          </v:shape>
          <o:OLEObject Type="Embed" ProgID="Equation.DSMT4" ShapeID="_x0000_i1054" DrawAspect="Content" ObjectID="_1510240306" r:id="rId70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55" type="#_x0000_t75" style="width:112pt;height:31pt" o:ole="">
            <v:imagedata r:id="rId71" o:title=""/>
          </v:shape>
          <o:OLEObject Type="Embed" ProgID="Equation.DSMT4" ShapeID="_x0000_i1055" DrawAspect="Content" ObjectID="_1510240307" r:id="rId72"/>
        </w:object>
      </w:r>
    </w:p>
    <w:p w:rsidR="00850530" w:rsidRPr="00914A4C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610AF3" w:rsidRPr="00D03C0A" w:rsidRDefault="00610AF3" w:rsidP="00610AF3">
      <w:pPr>
        <w:pStyle w:val="Heading1"/>
      </w:pPr>
      <w:bookmarkStart w:id="19" w:name="_Toc436247888"/>
      <w:r>
        <w:t>Jitter</w:t>
      </w:r>
      <w:bookmarkEnd w:id="19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20" w:name="_Toc436247889"/>
      <w:r>
        <w:t>Fail</w:t>
      </w:r>
      <w:bookmarkEnd w:id="20"/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21" w:name="_Toc434489845"/>
      <w:bookmarkStart w:id="22" w:name="_Toc436247890"/>
      <w:r>
        <w:t>Voting Schemes</w:t>
      </w:r>
      <w:bookmarkEnd w:id="21"/>
      <w:bookmarkEnd w:id="22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lastRenderedPageBreak/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3" w:name="_Toc436247891"/>
      <w:r>
        <w:t>Information Redundancy</w:t>
      </w:r>
      <w:bookmarkEnd w:id="23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</w:t>
      </w:r>
      <w:r w:rsidR="00BC0833">
        <w:t xml:space="preserve">the number of </w:t>
      </w:r>
      <w:r>
        <w:t xml:space="preserve">1’s are </w:t>
      </w:r>
      <w:r w:rsidR="00BC0833">
        <w:t xml:space="preserve">identified as </w:t>
      </w:r>
      <w:r>
        <w:t xml:space="preserve">even </w:t>
      </w:r>
      <w:r w:rsidR="00BC0833">
        <w:t xml:space="preserve">(1) </w:t>
      </w:r>
      <w:r>
        <w:t xml:space="preserve">for </w:t>
      </w:r>
      <w:r>
        <w:rPr>
          <w:b/>
        </w:rPr>
        <w:t>even parity</w:t>
      </w:r>
      <w:r>
        <w:t xml:space="preserve"> and odd </w:t>
      </w:r>
      <w:r w:rsidR="00BC0833">
        <w:t xml:space="preserve">(0) </w:t>
      </w:r>
      <w:r>
        <w:t xml:space="preserve">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F234FB" w:rsidRDefault="00AF6AF5" w:rsidP="00F234FB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Default="00AF6AF5" w:rsidP="0013503A">
      <w:pPr>
        <w:pStyle w:val="NoSpacing"/>
      </w:pPr>
    </w:p>
    <w:p w:rsidR="00B4731A" w:rsidRDefault="00B4731A" w:rsidP="00B4731A">
      <w:pPr>
        <w:pStyle w:val="Heading1"/>
      </w:pPr>
      <w:r>
        <w:t>Execution Time</w:t>
      </w:r>
    </w:p>
    <w:p w:rsidR="00B4731A" w:rsidRPr="00DB164C" w:rsidRDefault="00B4731A" w:rsidP="00B4731A">
      <w:pPr>
        <w:pStyle w:val="NoSpacing"/>
      </w:pPr>
      <w:r>
        <w:t>Underestimate the time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B4731A" w:rsidRDefault="00B4731A" w:rsidP="00B4731A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>
        <w:t xml:space="preserve">(BCET^): estimation of BCET </w:t>
      </w:r>
    </w:p>
    <w:p w:rsidR="00B4731A" w:rsidRDefault="00B4731A" w:rsidP="00B4731A">
      <w:pPr>
        <w:pStyle w:val="NoSpacing"/>
      </w:pPr>
      <w:r>
        <w:t xml:space="preserve">(WCET^): estimation of WCET </w:t>
      </w:r>
    </w:p>
    <w:p w:rsidR="00B4731A" w:rsidRDefault="00B4731A" w:rsidP="00B4731A">
      <w:pPr>
        <w:pStyle w:val="NoSpacing"/>
      </w:pPr>
      <w:r>
        <w:t>BCET^ &lt; BCET &lt; WCET, WCET^</w:t>
      </w:r>
    </w:p>
    <w:p w:rsidR="00677792" w:rsidRDefault="00677792" w:rsidP="00677792">
      <w:pPr>
        <w:pStyle w:val="Heading1"/>
      </w:pPr>
      <w:r>
        <w:t>Natural Language Standards</w:t>
      </w:r>
    </w:p>
    <w:p w:rsidR="00677792" w:rsidRDefault="00677792" w:rsidP="00677792">
      <w:pPr>
        <w:pStyle w:val="NoSpacing"/>
      </w:pPr>
      <w:r>
        <w:t>Should: soft requirement</w:t>
      </w:r>
    </w:p>
    <w:p w:rsidR="00B4731A" w:rsidRPr="00B4731A" w:rsidRDefault="00677792" w:rsidP="00B4731A">
      <w:pPr>
        <w:pStyle w:val="NoSpacing"/>
      </w:pPr>
      <w:r>
        <w:t>Shall: hard requirement</w:t>
      </w:r>
    </w:p>
    <w:sectPr w:rsidR="00B4731A" w:rsidRPr="00B4731A" w:rsidSect="00A00DB0">
      <w:headerReference w:type="default" r:id="rId73"/>
      <w:footerReference w:type="default" r:id="rId74"/>
      <w:footerReference w:type="first" r:id="rId7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799" w:rsidRDefault="00164799" w:rsidP="00A00DB0">
      <w:pPr>
        <w:spacing w:after="0" w:line="240" w:lineRule="auto"/>
      </w:pPr>
      <w:r>
        <w:separator/>
      </w:r>
    </w:p>
  </w:endnote>
  <w:endnote w:type="continuationSeparator" w:id="0">
    <w:p w:rsidR="00164799" w:rsidRDefault="00164799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7A79" w:rsidRDefault="00777A79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10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77A79" w:rsidRDefault="00777A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77A79" w:rsidRDefault="00777A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410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410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A79" w:rsidRDefault="00777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799" w:rsidRDefault="00164799" w:rsidP="00A00DB0">
      <w:pPr>
        <w:spacing w:after="0" w:line="240" w:lineRule="auto"/>
      </w:pPr>
      <w:r>
        <w:separator/>
      </w:r>
    </w:p>
  </w:footnote>
  <w:footnote w:type="continuationSeparator" w:id="0">
    <w:p w:rsidR="00164799" w:rsidRDefault="00164799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79" w:rsidRDefault="00777A79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9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7"/>
  </w:num>
  <w:num w:numId="12">
    <w:abstractNumId w:val="2"/>
  </w:num>
  <w:num w:numId="13">
    <w:abstractNumId w:val="31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2C54"/>
    <w:rsid w:val="0005531F"/>
    <w:rsid w:val="0006120A"/>
    <w:rsid w:val="00070FFA"/>
    <w:rsid w:val="000A317D"/>
    <w:rsid w:val="000A32F9"/>
    <w:rsid w:val="000A7D58"/>
    <w:rsid w:val="000D62D6"/>
    <w:rsid w:val="000D6B9E"/>
    <w:rsid w:val="000E080B"/>
    <w:rsid w:val="000E6474"/>
    <w:rsid w:val="000E668E"/>
    <w:rsid w:val="000F2CC1"/>
    <w:rsid w:val="001005F5"/>
    <w:rsid w:val="00107580"/>
    <w:rsid w:val="00120EC1"/>
    <w:rsid w:val="00133658"/>
    <w:rsid w:val="0013503A"/>
    <w:rsid w:val="0014664B"/>
    <w:rsid w:val="00151478"/>
    <w:rsid w:val="00152E58"/>
    <w:rsid w:val="00164799"/>
    <w:rsid w:val="001701D6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1D6C96"/>
    <w:rsid w:val="0023373E"/>
    <w:rsid w:val="00240ADA"/>
    <w:rsid w:val="002537A8"/>
    <w:rsid w:val="002666D9"/>
    <w:rsid w:val="002701EB"/>
    <w:rsid w:val="00270466"/>
    <w:rsid w:val="0028492C"/>
    <w:rsid w:val="0028524D"/>
    <w:rsid w:val="002B0B5C"/>
    <w:rsid w:val="002B7B4E"/>
    <w:rsid w:val="002C5363"/>
    <w:rsid w:val="0030497A"/>
    <w:rsid w:val="003113EF"/>
    <w:rsid w:val="00317AB8"/>
    <w:rsid w:val="00322FB3"/>
    <w:rsid w:val="00325FC0"/>
    <w:rsid w:val="00334DAD"/>
    <w:rsid w:val="00347485"/>
    <w:rsid w:val="0037448C"/>
    <w:rsid w:val="0037591D"/>
    <w:rsid w:val="00382503"/>
    <w:rsid w:val="0038443E"/>
    <w:rsid w:val="00395B01"/>
    <w:rsid w:val="003A055A"/>
    <w:rsid w:val="003B0145"/>
    <w:rsid w:val="003D7C61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6307"/>
    <w:rsid w:val="004D6DD8"/>
    <w:rsid w:val="004D7FF4"/>
    <w:rsid w:val="004E410F"/>
    <w:rsid w:val="004F1403"/>
    <w:rsid w:val="00520223"/>
    <w:rsid w:val="00527806"/>
    <w:rsid w:val="00534694"/>
    <w:rsid w:val="005523DA"/>
    <w:rsid w:val="005745DC"/>
    <w:rsid w:val="00577116"/>
    <w:rsid w:val="005772D2"/>
    <w:rsid w:val="005814B5"/>
    <w:rsid w:val="00592156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6213D"/>
    <w:rsid w:val="00674B35"/>
    <w:rsid w:val="00677792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77A79"/>
    <w:rsid w:val="00790917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2542"/>
    <w:rsid w:val="008825C3"/>
    <w:rsid w:val="00893D12"/>
    <w:rsid w:val="00894F76"/>
    <w:rsid w:val="008953E3"/>
    <w:rsid w:val="008E40A6"/>
    <w:rsid w:val="008F51AD"/>
    <w:rsid w:val="00904C5A"/>
    <w:rsid w:val="00907218"/>
    <w:rsid w:val="00911192"/>
    <w:rsid w:val="00914A4C"/>
    <w:rsid w:val="00916B81"/>
    <w:rsid w:val="00934101"/>
    <w:rsid w:val="009429D6"/>
    <w:rsid w:val="009478D9"/>
    <w:rsid w:val="00960707"/>
    <w:rsid w:val="00960E66"/>
    <w:rsid w:val="0097093B"/>
    <w:rsid w:val="00990AE3"/>
    <w:rsid w:val="00993A40"/>
    <w:rsid w:val="009A4FB5"/>
    <w:rsid w:val="009C4BED"/>
    <w:rsid w:val="009D6FD2"/>
    <w:rsid w:val="009E6DD0"/>
    <w:rsid w:val="009F0ACA"/>
    <w:rsid w:val="009F31C2"/>
    <w:rsid w:val="00A00DB0"/>
    <w:rsid w:val="00A02183"/>
    <w:rsid w:val="00A31996"/>
    <w:rsid w:val="00A3655A"/>
    <w:rsid w:val="00A408E5"/>
    <w:rsid w:val="00A42F1C"/>
    <w:rsid w:val="00A73495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2BA8"/>
    <w:rsid w:val="00B22533"/>
    <w:rsid w:val="00B2443E"/>
    <w:rsid w:val="00B25757"/>
    <w:rsid w:val="00B34DB4"/>
    <w:rsid w:val="00B45557"/>
    <w:rsid w:val="00B4731A"/>
    <w:rsid w:val="00B511C0"/>
    <w:rsid w:val="00B566C6"/>
    <w:rsid w:val="00B72B63"/>
    <w:rsid w:val="00BA576E"/>
    <w:rsid w:val="00BB6A3F"/>
    <w:rsid w:val="00BB729E"/>
    <w:rsid w:val="00BC0833"/>
    <w:rsid w:val="00BE39E8"/>
    <w:rsid w:val="00BF3A22"/>
    <w:rsid w:val="00C07E7A"/>
    <w:rsid w:val="00C115B7"/>
    <w:rsid w:val="00C134F7"/>
    <w:rsid w:val="00C13C8F"/>
    <w:rsid w:val="00C37B97"/>
    <w:rsid w:val="00C6537F"/>
    <w:rsid w:val="00C66D24"/>
    <w:rsid w:val="00C809CF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164C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210F3"/>
    <w:rsid w:val="00F234FB"/>
    <w:rsid w:val="00F2675A"/>
    <w:rsid w:val="00F2741A"/>
    <w:rsid w:val="00F428D4"/>
    <w:rsid w:val="00F53FD9"/>
    <w:rsid w:val="00F6595D"/>
    <w:rsid w:val="00F73560"/>
    <w:rsid w:val="00F87626"/>
    <w:rsid w:val="00FA1809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theme" Target="theme/theme1.xml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B952-6386-4353-A826-04EFB145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1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170</cp:revision>
  <cp:lastPrinted>2015-11-28T23:24:00Z</cp:lastPrinted>
  <dcterms:created xsi:type="dcterms:W3CDTF">2015-09-17T04:05:00Z</dcterms:created>
  <dcterms:modified xsi:type="dcterms:W3CDTF">2015-11-28T23:24:00Z</dcterms:modified>
</cp:coreProperties>
</file>