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066607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16029" w:history="1">
            <w:r w:rsidR="00066607" w:rsidRPr="00753178">
              <w:rPr>
                <w:rStyle w:val="Hyperlink"/>
                <w:noProof/>
              </w:rPr>
              <w:t>Statistics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_Toc435316029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1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0" w:history="1">
            <w:r w:rsidR="00066607" w:rsidRPr="00753178">
              <w:rPr>
                <w:rStyle w:val="Hyperlink"/>
                <w:noProof/>
              </w:rPr>
              <w:t>Variance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_Toc435316030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1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1" w:history="1">
            <w:r w:rsidR="00066607" w:rsidRPr="00753178">
              <w:rPr>
                <w:rStyle w:val="Hyperlink"/>
                <w:noProof/>
              </w:rPr>
              <w:t>Exponential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_Toc435316031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2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2" w:history="1">
            <w:r w:rsidR="00066607" w:rsidRPr="00753178">
              <w:rPr>
                <w:rStyle w:val="Hyperlink"/>
                <w:noProof/>
              </w:rPr>
              <w:t>Uniform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_Toc435316032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2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3" w:history="1">
            <w:r w:rsidR="00066607" w:rsidRPr="00753178">
              <w:rPr>
                <w:rStyle w:val="Hyperlink"/>
                <w:noProof/>
              </w:rPr>
              <w:t>Binomial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_Toc435316033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2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4" w:history="1">
            <w:r w:rsidR="00066607" w:rsidRPr="00753178">
              <w:rPr>
                <w:rStyle w:val="Hyperlink"/>
                <w:noProof/>
              </w:rPr>
              <w:t>Operations Analysis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_Toc435316034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2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5" w:history="1">
            <w:r w:rsidR="00066607" w:rsidRPr="00753178">
              <w:rPr>
                <w:rStyle w:val="Hyperlink"/>
                <w:noProof/>
              </w:rPr>
              <w:t>Visitation Trick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_Toc435316035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3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6" w:history="1">
            <w:r w:rsidR="00066607" w:rsidRPr="00753178">
              <w:rPr>
                <w:rStyle w:val="Hyperlink"/>
                <w:noProof/>
              </w:rPr>
              <w:t>DTMC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_Toc435316036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4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7" w:history="1">
            <w:r w:rsidR="00066607" w:rsidRPr="00753178">
              <w:rPr>
                <w:rStyle w:val="Hyperlink"/>
                <w:noProof/>
              </w:rPr>
              <w:t>Matrices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_Toc435316037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4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8" w:history="1">
            <w:r w:rsidR="00066607" w:rsidRPr="00753178">
              <w:rPr>
                <w:rStyle w:val="Hyperlink"/>
                <w:noProof/>
              </w:rPr>
              <w:t>CTMC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_Toc435316038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4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39" w:history="1">
            <w:r w:rsidR="00066607" w:rsidRPr="00753178">
              <w:rPr>
                <w:rStyle w:val="Hyperlink"/>
                <w:noProof/>
              </w:rPr>
              <w:t>Poisson Process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_Toc435316039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4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40" w:history="1">
            <w:r w:rsidR="00066607" w:rsidRPr="00753178">
              <w:rPr>
                <w:rStyle w:val="Hyperlink"/>
                <w:noProof/>
              </w:rPr>
              <w:t>Kendall notation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_Toc435316040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5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5316041" w:history="1">
            <w:r w:rsidR="00066607" w:rsidRPr="00753178">
              <w:rPr>
                <w:rStyle w:val="Hyperlink"/>
                <w:noProof/>
              </w:rPr>
              <w:t>M/M/C Provisioning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_Toc435316041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6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066607" w:rsidRDefault="006F0F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5316042" w:history="1">
            <w:r w:rsidR="00066607" w:rsidRPr="00753178">
              <w:rPr>
                <w:rStyle w:val="Hyperlink"/>
                <w:noProof/>
              </w:rPr>
              <w:t>Traffic Equations</w:t>
            </w:r>
            <w:r w:rsidR="00066607">
              <w:rPr>
                <w:noProof/>
                <w:webHidden/>
              </w:rPr>
              <w:tab/>
            </w:r>
            <w:r w:rsidR="00066607">
              <w:rPr>
                <w:noProof/>
                <w:webHidden/>
              </w:rPr>
              <w:fldChar w:fldCharType="begin"/>
            </w:r>
            <w:r w:rsidR="00066607">
              <w:rPr>
                <w:noProof/>
                <w:webHidden/>
              </w:rPr>
              <w:instrText xml:space="preserve"> PAGEREF _Toc435316042 \h </w:instrText>
            </w:r>
            <w:r w:rsidR="00066607">
              <w:rPr>
                <w:noProof/>
                <w:webHidden/>
              </w:rPr>
            </w:r>
            <w:r w:rsidR="00066607">
              <w:rPr>
                <w:noProof/>
                <w:webHidden/>
              </w:rPr>
              <w:fldChar w:fldCharType="separate"/>
            </w:r>
            <w:r w:rsidR="00C92604">
              <w:rPr>
                <w:noProof/>
                <w:webHidden/>
              </w:rPr>
              <w:t>6</w:t>
            </w:r>
            <w:r w:rsidR="00066607"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5316029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7pt" o:ole="">
            <v:imagedata r:id="rId7" o:title=""/>
          </v:shape>
          <o:OLEObject Type="Embed" ProgID="Equation.DSMT4" ShapeID="_x0000_i1025" DrawAspect="Content" ObjectID="_1509137328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1" w:name="_Toc435316030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5pt" o:ole="">
            <v:imagedata r:id="rId9" o:title=""/>
          </v:shape>
          <o:OLEObject Type="Embed" ProgID="Equation.DSMT4" ShapeID="_x0000_i1026" DrawAspect="Content" ObjectID="_1509137329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5pt;height:100.2pt" o:ole="">
            <v:imagedata r:id="rId11" o:title=""/>
          </v:shape>
          <o:OLEObject Type="Embed" ProgID="Equation.DSMT4" ShapeID="_x0000_i1027" DrawAspect="Content" ObjectID="_1509137330" r:id="rId12"/>
        </w:object>
      </w:r>
    </w:p>
    <w:p w:rsidR="00AD4D8C" w:rsidRDefault="00AD4D8C" w:rsidP="00AD4D8C">
      <w:pPr>
        <w:pStyle w:val="Heading2"/>
      </w:pPr>
      <w:bookmarkStart w:id="2" w:name="_Toc435316031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5316032"/>
      <w:r>
        <w:t>Uniform</w:t>
      </w:r>
      <w:bookmarkEnd w:id="3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4" w:name="_Toc435316033"/>
      <w:r>
        <w:t>Binomial</w:t>
      </w:r>
      <w:bookmarkEnd w:id="4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0.9pt;height:37pt" o:ole="">
            <v:imagedata r:id="rId13" o:title=""/>
          </v:shape>
          <o:OLEObject Type="Embed" ProgID="Equation.DSMT4" ShapeID="_x0000_i1028" DrawAspect="Content" ObjectID="_1509137331" r:id="rId14"/>
        </w:object>
      </w:r>
    </w:p>
    <w:p w:rsidR="0089582B" w:rsidRDefault="000D675F" w:rsidP="000D675F">
      <w:pPr>
        <w:pStyle w:val="Heading1"/>
      </w:pPr>
      <w:bookmarkStart w:id="5" w:name="_Toc435316034"/>
      <w:r>
        <w:t>Operations Analysis</w:t>
      </w:r>
      <w:bookmarkEnd w:id="5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15pt" o:ole="">
            <v:imagedata r:id="rId15" o:title=""/>
          </v:shape>
          <o:OLEObject Type="Embed" ProgID="Equation.DSMT4" ShapeID="_x0000_i1029" DrawAspect="Content" ObjectID="_1509137332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5pt;height:34pt" o:ole="">
            <v:imagedata r:id="rId17" o:title=""/>
          </v:shape>
          <o:OLEObject Type="Embed" ProgID="Equation.DSMT4" ShapeID="_x0000_i1030" DrawAspect="Content" ObjectID="_1509137333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.1pt;height:31.2pt" o:ole="">
            <v:imagedata r:id="rId19" o:title=""/>
          </v:shape>
          <o:OLEObject Type="Embed" ProgID="Equation.DSMT4" ShapeID="_x0000_i1031" DrawAspect="Content" ObjectID="_1509137334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9137335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A23387" w:rsidRDefault="00A23387" w:rsidP="00A23387">
      <w:pPr>
        <w:pStyle w:val="NoSpacing"/>
      </w:pPr>
      <w:r>
        <w:t xml:space="preserve">E[R] = </w:t>
      </w:r>
      <w:proofErr w:type="gramStart"/>
      <w:r>
        <w:t>E[</w:t>
      </w:r>
      <w:proofErr w:type="gramEnd"/>
      <w:r>
        <w:t>R</w:t>
      </w:r>
      <w:r w:rsidR="009836A6">
        <w:rPr>
          <w:vertAlign w:val="subscript"/>
        </w:rPr>
        <w:t>Q</w:t>
      </w:r>
      <w:r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25pt" o:ole="">
            <v:imagedata r:id="rId23" o:title=""/>
          </v:shape>
          <o:OLEObject Type="Embed" ProgID="Equation.DSMT4" ShapeID="_x0000_i1033" DrawAspect="Content" ObjectID="_1509137336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pt;height:20.15pt" o:ole="">
            <v:imagedata r:id="rId25" o:title=""/>
          </v:shape>
          <o:OLEObject Type="Embed" ProgID="Equation.DSMT4" ShapeID="_x0000_i1034" DrawAspect="Content" ObjectID="_1509137337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pt;height:20.15pt" o:ole="">
            <v:imagedata r:id="rId27" o:title=""/>
          </v:shape>
          <o:OLEObject Type="Embed" ProgID="Equation.DSMT4" ShapeID="_x0000_i1035" DrawAspect="Content" ObjectID="_1509137338" r:id="rId28"/>
        </w:object>
      </w:r>
    </w:p>
    <w:p w:rsidR="00D53063" w:rsidRDefault="00D53063" w:rsidP="00432FAD">
      <w:pPr>
        <w:pStyle w:val="NoSpacing"/>
        <w:numPr>
          <w:ilvl w:val="0"/>
          <w:numId w:val="5"/>
        </w:numPr>
      </w:pPr>
      <w:r>
        <w:t>Steady state probability</w:t>
      </w:r>
    </w:p>
    <w:p w:rsidR="00A23387" w:rsidRDefault="00192069" w:rsidP="00C34685">
      <w:pPr>
        <w:pStyle w:val="NoSpacing"/>
        <w:numPr>
          <w:ilvl w:val="1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 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</w:p>
    <w:p w:rsidR="00D0316B" w:rsidRDefault="00D0316B" w:rsidP="00C34685">
      <w:pPr>
        <w:pStyle w:val="NoSpacing"/>
        <w:numPr>
          <w:ilvl w:val="1"/>
          <w:numId w:val="5"/>
        </w:numPr>
      </w:pPr>
      <w:r>
        <w:t>M/M/C: E[N] = ΣE[N</w:t>
      </w:r>
      <w:r>
        <w:rPr>
          <w:vertAlign w:val="subscript"/>
        </w:rPr>
        <w:t>i</w:t>
      </w:r>
      <w:r>
        <w:t xml:space="preserve">] = </w:t>
      </w:r>
      <w:proofErr w:type="spellStart"/>
      <w:r>
        <w:t>Σpλ</w:t>
      </w:r>
      <w:proofErr w:type="spellEnd"/>
      <w:r>
        <w:t>/(</w:t>
      </w:r>
      <w:proofErr w:type="spellStart"/>
      <w:r>
        <w:t>μ</w:t>
      </w:r>
      <w:r>
        <w:rPr>
          <w:vertAlign w:val="subscript"/>
        </w:rPr>
        <w:t>i</w:t>
      </w:r>
      <w:proofErr w:type="spellEnd"/>
      <w:r>
        <w:t>–</w:t>
      </w:r>
      <w:proofErr w:type="spellStart"/>
      <w:r>
        <w:t>pλ</w:t>
      </w:r>
      <w:proofErr w:type="spellEnd"/>
      <w:r>
        <w:t>)</w:t>
      </w:r>
      <w:r w:rsidR="00E7124A">
        <w:t xml:space="preserve"> = Σ(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/(</w:t>
      </w:r>
      <w:proofErr w:type="spellStart"/>
      <w:r w:rsidR="00E7124A">
        <w:t>μ</w:t>
      </w:r>
      <w:r w:rsidR="00E7124A">
        <w:rPr>
          <w:vertAlign w:val="subscript"/>
        </w:rPr>
        <w:t>i</w:t>
      </w:r>
      <w:proofErr w:type="spellEnd"/>
      <w:r w:rsidR="00E7124A">
        <w:t>–</w:t>
      </w:r>
      <w:proofErr w:type="spellStart"/>
      <w:r w:rsidR="00E7124A">
        <w:t>λ</w:t>
      </w:r>
      <w:r w:rsidR="00E7124A">
        <w:rPr>
          <w:vertAlign w:val="subscript"/>
        </w:rPr>
        <w:t>i</w:t>
      </w:r>
      <w:proofErr w:type="spellEnd"/>
      <w:r w:rsidR="00E7124A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1.95pt;height:20.15pt" o:ole="">
            <v:imagedata r:id="rId29" o:title=""/>
          </v:shape>
          <o:OLEObject Type="Embed" ProgID="Equation.DSMT4" ShapeID="_x0000_i1036" DrawAspect="Content" ObjectID="_1509137339" r:id="rId30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4.7pt;height:39.5pt" o:ole="">
            <v:imagedata r:id="rId31" o:title=""/>
          </v:shape>
          <o:OLEObject Type="Embed" ProgID="Equation.DSMT4" ShapeID="_x0000_i1037" DrawAspect="Content" ObjectID="_1509137340" r:id="rId32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.2pt;height:34pt" o:ole="">
            <v:imagedata r:id="rId33" o:title=""/>
          </v:shape>
          <o:OLEObject Type="Embed" ProgID="Equation.DSMT4" ShapeID="_x0000_i1038" DrawAspect="Content" ObjectID="_1509137341" r:id="rId34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.35pt;height:35pt" o:ole="">
            <v:imagedata r:id="rId35" o:title=""/>
          </v:shape>
          <o:OLEObject Type="Embed" ProgID="Equation.DSMT4" ShapeID="_x0000_i1039" DrawAspect="Content" ObjectID="_1509137342" r:id="rId36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.2pt;height:20.15pt" o:ole="">
            <v:imagedata r:id="rId37" o:title=""/>
          </v:shape>
          <o:OLEObject Type="Embed" ProgID="Equation.DSMT4" ShapeID="_x0000_i1040" DrawAspect="Content" ObjectID="_1509137343" r:id="rId38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.2pt;height:38pt" o:ole="">
            <v:imagedata r:id="rId39" o:title=""/>
          </v:shape>
          <o:OLEObject Type="Embed" ProgID="Equation.DSMT4" ShapeID="_x0000_i1041" DrawAspect="Content" ObjectID="_1509137344" r:id="rId40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6" w:name="_Toc435316035"/>
      <w:r>
        <w:t>Visitation Trick</w:t>
      </w:r>
      <w:bookmarkEnd w:id="6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7" w:name="_Toc435316036"/>
      <w:r>
        <w:t>DTMC</w:t>
      </w:r>
      <w:bookmarkEnd w:id="7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r w:rsidR="00BE0ACB" w:rsidRPr="003C19C2">
        <w:rPr>
          <w:position w:val="-28"/>
        </w:rPr>
        <w:object w:dxaOrig="1200" w:dyaOrig="680">
          <v:shape id="_x0000_i1042" type="#_x0000_t75" style="width:59.9pt;height:34pt" o:ole="">
            <v:imagedata r:id="rId42" o:title=""/>
          </v:shape>
          <o:OLEObject Type="Embed" ProgID="Equation.DSMT4" ShapeID="_x0000_i1042" DrawAspect="Content" ObjectID="_1509137345" r:id="rId43"/>
        </w:object>
      </w:r>
      <w:proofErr w:type="gramEnd"/>
      <w:r w:rsidR="00BE0ACB">
        <w:t xml:space="preserve">, where 0 </w:t>
      </w:r>
      <w:r w:rsidR="00BE0ACB">
        <w:rPr>
          <w:rFonts w:ascii="Calibri" w:hAnsi="Calibri"/>
        </w:rPr>
        <w:t>≤</w:t>
      </w:r>
      <w:r w:rsidR="00BE0ACB">
        <w:t xml:space="preserve"> r </w:t>
      </w:r>
      <w:r w:rsidR="00BE0ACB">
        <w:rPr>
          <w:rFonts w:ascii="Calibri" w:hAnsi="Calibri"/>
        </w:rPr>
        <w:t>≤</w:t>
      </w:r>
      <w:r w:rsidR="00BE0ACB">
        <w:t xml:space="preserve"> 1 (because otherwise it would be unstable)</w:t>
      </w:r>
    </w:p>
    <w:p w:rsidR="00A30D4E" w:rsidRDefault="00BE0ACB" w:rsidP="002D614D">
      <w:pPr>
        <w:pStyle w:val="NoSpacing"/>
      </w:pPr>
      <w:r w:rsidRPr="00BE0ACB">
        <w:rPr>
          <w:position w:val="-28"/>
        </w:rPr>
        <w:object w:dxaOrig="1200" w:dyaOrig="680">
          <v:shape id="_x0000_i1043" type="#_x0000_t75" style="width:59.9pt;height:34pt" o:ole="">
            <v:imagedata r:id="rId44" o:title=""/>
          </v:shape>
          <o:OLEObject Type="Embed" ProgID="Equation.DSMT4" ShapeID="_x0000_i1043" DrawAspect="Content" ObjectID="_1509137346" r:id="rId45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4" type="#_x0000_t75" style="width:95.15pt;height:35pt" o:ole="">
            <v:imagedata r:id="rId46" o:title=""/>
          </v:shape>
          <o:OLEObject Type="Embed" ProgID="Equation.DSMT4" ShapeID="_x0000_i1044" DrawAspect="Content" ObjectID="_1509137347" r:id="rId47"/>
        </w:object>
      </w:r>
    </w:p>
    <w:p w:rsid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5" type="#_x0000_t75" style="width:103.7pt;height:38pt" o:ole="">
            <v:imagedata r:id="rId48" o:title=""/>
          </v:shape>
          <o:OLEObject Type="Embed" ProgID="Equation.DSMT4" ShapeID="_x0000_i1045" DrawAspect="Content" ObjectID="_1509137348" r:id="rId49"/>
        </w:object>
      </w:r>
    </w:p>
    <w:p w:rsidR="00A30D4E" w:rsidRDefault="001C29C8" w:rsidP="002D614D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4" type="#_x0000_t75" style="width:67.7pt;height:65.7pt" o:ole="">
            <v:imagedata r:id="rId50" o:title=""/>
          </v:shape>
          <o:OLEObject Type="Embed" ProgID="Equation.DSMT4" ShapeID="_x0000_i1054" DrawAspect="Content" ObjectID="_1509137349" r:id="rId51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D97EB6" w:rsidRDefault="00D97EB6" w:rsidP="002D614D">
      <w:pPr>
        <w:pStyle w:val="NoSpacing"/>
      </w:pPr>
      <w:bookmarkStart w:id="8" w:name="_GoBack"/>
      <w:bookmarkEnd w:id="8"/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091E34" w:rsidRDefault="00091E34" w:rsidP="00091E34">
      <w:pPr>
        <w:pStyle w:val="Heading2"/>
      </w:pPr>
      <w:bookmarkStart w:id="9" w:name="_Toc435316037"/>
      <w:r>
        <w:t>Matrices</w:t>
      </w:r>
      <w:bookmarkEnd w:id="9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0" w:name="_Toc435316038"/>
      <w:r>
        <w:t>CTMC</w:t>
      </w:r>
      <w:bookmarkEnd w:id="10"/>
    </w:p>
    <w:p w:rsidR="009F2EFB" w:rsidRDefault="009F2EFB" w:rsidP="009B6D67">
      <w:pPr>
        <w:pStyle w:val="Heading2"/>
      </w:pPr>
      <w:bookmarkStart w:id="11" w:name="_Toc435316039"/>
      <w:r>
        <w:t>Poisson</w:t>
      </w:r>
      <w:r w:rsidR="00313BC5">
        <w:t xml:space="preserve"> Process</w:t>
      </w:r>
      <w:bookmarkEnd w:id="11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46" type="#_x0000_t75" style="width:96.15pt;height:35pt" o:ole="">
            <v:imagedata r:id="rId52" o:title=""/>
          </v:shape>
          <o:OLEObject Type="Embed" ProgID="Equation.DSMT4" ShapeID="_x0000_i1046" DrawAspect="Content" ObjectID="_1509137350" r:id="rId53"/>
        </w:object>
      </w:r>
    </w:p>
    <w:p w:rsidR="009B6D67" w:rsidRDefault="009B6D67" w:rsidP="009F2EFB">
      <w:pPr>
        <w:pStyle w:val="NoSpacing"/>
      </w:pPr>
    </w:p>
    <w:p w:rsidR="00313BC5" w:rsidRDefault="00313BC5" w:rsidP="00313BC5">
      <w:pPr>
        <w:pStyle w:val="Heading2"/>
      </w:pPr>
      <w:bookmarkStart w:id="12" w:name="_Toc433377176"/>
      <w:bookmarkStart w:id="13" w:name="_Toc435316040"/>
      <w:r>
        <w:t>Kendall notation</w:t>
      </w:r>
      <w:bookmarkEnd w:id="12"/>
      <w:bookmarkEnd w:id="13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313BC5">
      <w:pPr>
        <w:pStyle w:val="NoSpacing"/>
      </w:pPr>
      <w:r>
        <w:t>Variations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8A7A1A" w:rsidRPr="008A7A1A" w:rsidRDefault="008A7A1A" w:rsidP="006F5FD1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1" type="#_x0000_t75" style="width:66.95pt;height:36pt" o:ole="">
            <v:imagedata r:id="rId54" o:title=""/>
          </v:shape>
          <o:OLEObject Type="Embed" ProgID="Equation.DSMT4" ShapeID="_x0000_i1051" DrawAspect="Content" ObjectID="_1509137351" r:id="rId55"/>
        </w:object>
      </w:r>
    </w:p>
    <w:p w:rsidR="006F5FD1" w:rsidRDefault="006F5FD1" w:rsidP="006F5FD1">
      <w:pPr>
        <w:pStyle w:val="NoSpacing"/>
        <w:ind w:left="720" w:hanging="720"/>
      </w:pPr>
    </w:p>
    <w:p w:rsidR="006F5FD1" w:rsidRDefault="002C152F" w:rsidP="009F2EFB">
      <w:pPr>
        <w:pStyle w:val="NoSpacing"/>
      </w:pPr>
      <w:r w:rsidRPr="002C152F">
        <w:rPr>
          <w:position w:val="-30"/>
        </w:rPr>
        <w:object w:dxaOrig="1939" w:dyaOrig="780">
          <v:shape id="_x0000_i1047" type="#_x0000_t75" style="width:96.9pt;height:38.75pt" o:ole="">
            <v:imagedata r:id="rId56" o:title=""/>
          </v:shape>
          <o:OLEObject Type="Embed" ProgID="Equation.DSMT4" ShapeID="_x0000_i1047" DrawAspect="Content" ObjectID="_1509137352" r:id="rId57"/>
        </w:object>
      </w:r>
    </w:p>
    <w:p w:rsidR="00117FC7" w:rsidRDefault="00C57717" w:rsidP="00117FC7">
      <w:pPr>
        <w:pStyle w:val="NoSpacing"/>
        <w:ind w:left="720" w:hanging="720"/>
      </w:pPr>
      <w:r w:rsidRPr="00C57717">
        <w:rPr>
          <w:position w:val="-102"/>
        </w:rPr>
        <w:object w:dxaOrig="1860" w:dyaOrig="2120">
          <v:shape id="_x0000_i1048" type="#_x0000_t75" style="width:92.9pt;height:106pt" o:ole="">
            <v:imagedata r:id="rId58" o:title=""/>
          </v:shape>
          <o:OLEObject Type="Embed" ProgID="Equation.DSMT4" ShapeID="_x0000_i1048" DrawAspect="Content" ObjectID="_1509137353" r:id="rId59"/>
        </w:object>
      </w:r>
    </w:p>
    <w:p w:rsidR="002C152F" w:rsidRDefault="002C152F" w:rsidP="002C152F">
      <w:pPr>
        <w:pStyle w:val="Heading3"/>
      </w:pPr>
      <w:bookmarkStart w:id="14" w:name="_Toc434406131"/>
      <w:bookmarkStart w:id="15" w:name="_Toc435316041"/>
      <w:r>
        <w:t>M/M/C Provisioning</w:t>
      </w:r>
      <w:bookmarkEnd w:id="14"/>
      <w:bookmarkEnd w:id="15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775C05" w:rsidRDefault="00775C05" w:rsidP="00775C05">
      <w:pPr>
        <w:pStyle w:val="NoSpacing"/>
        <w:ind w:left="720" w:hanging="720"/>
      </w:pPr>
      <w:proofErr w:type="spellStart"/>
      <w:r>
        <w:rPr>
          <w:b/>
        </w:rPr>
        <w:t>Erlang</w:t>
      </w:r>
      <w:proofErr w:type="spellEnd"/>
      <w:r>
        <w:rPr>
          <w:b/>
        </w:rPr>
        <w:t>-C Equation</w:t>
      </w:r>
      <w:r w:rsidRPr="007A3496">
        <w:t xml:space="preserve">: </w:t>
      </w:r>
      <w:proofErr w:type="gramStart"/>
      <w:r>
        <w:t>P(</w:t>
      </w:r>
      <w:proofErr w:type="gramEnd"/>
      <w:r>
        <w:t xml:space="preserve">job has to wait in queue) = </w:t>
      </w:r>
      <w:r w:rsidRPr="007A3496">
        <w:rPr>
          <w:position w:val="-28"/>
        </w:rPr>
        <w:object w:dxaOrig="560" w:dyaOrig="680">
          <v:shape id="_x0000_i1052" type="#_x0000_t75" style="width:27.95pt;height:34pt" o:ole="">
            <v:imagedata r:id="rId60" o:title=""/>
          </v:shape>
          <o:OLEObject Type="Embed" ProgID="Equation.DSMT4" ShapeID="_x0000_i1052" DrawAspect="Content" ObjectID="_1509137354" r:id="rId61"/>
        </w:object>
      </w:r>
    </w:p>
    <w:p w:rsidR="00027EE9" w:rsidRDefault="00775C05" w:rsidP="00775C05">
      <w:pPr>
        <w:pStyle w:val="NoSpacing"/>
      </w:pPr>
      <w:r w:rsidRPr="007A3496">
        <w:rPr>
          <w:position w:val="-36"/>
        </w:rPr>
        <w:object w:dxaOrig="2120" w:dyaOrig="880">
          <v:shape id="_x0000_i1053" type="#_x0000_t75" style="width:106pt;height:44.05pt" o:ole="">
            <v:imagedata r:id="rId62" o:title=""/>
          </v:shape>
          <o:OLEObject Type="Embed" ProgID="Equation.DSMT4" ShapeID="_x0000_i1053" DrawAspect="Content" ObjectID="_1509137355" r:id="rId63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AF1EED" w:rsidRDefault="002C152F" w:rsidP="00A23387">
      <w:pPr>
        <w:pStyle w:val="NoSpacing"/>
      </w:pPr>
      <w:r>
        <w:t>[P</w:t>
      </w:r>
      <w:r>
        <w:rPr>
          <w:vertAlign w:val="subscript"/>
        </w:rPr>
        <w:t>Q</w:t>
      </w:r>
      <w:r>
        <w:t>]: probability of queueing</w:t>
      </w:r>
    </w:p>
    <w:p w:rsidR="00A23387" w:rsidRPr="00A23387" w:rsidRDefault="00A23387" w:rsidP="00A23387">
      <w:pPr>
        <w:pStyle w:val="NoSpacing"/>
      </w:pPr>
      <w:r>
        <w:t>[R</w:t>
      </w:r>
      <w:r>
        <w:rPr>
          <w:vertAlign w:val="subscript"/>
        </w:rPr>
        <w:t>Q</w:t>
      </w:r>
      <w:r>
        <w:t>]: response time of queue</w:t>
      </w:r>
    </w:p>
    <w:p w:rsidR="00A23387" w:rsidRDefault="00A23387" w:rsidP="00A23387">
      <w:pPr>
        <w:pStyle w:val="NoSpacing"/>
      </w:pPr>
      <w:r w:rsidRPr="00A47B80">
        <w:rPr>
          <w:position w:val="-30"/>
        </w:rPr>
        <w:object w:dxaOrig="2180" w:dyaOrig="720">
          <v:shape id="_x0000_i1049" type="#_x0000_t75" style="width:109pt;height:36pt" o:ole="">
            <v:imagedata r:id="rId64" o:title=""/>
          </v:shape>
          <o:OLEObject Type="Embed" ProgID="Equation.DSMT4" ShapeID="_x0000_i1049" DrawAspect="Content" ObjectID="_1509137356" r:id="rId65"/>
        </w:object>
      </w:r>
    </w:p>
    <w:p w:rsidR="00A23387" w:rsidRPr="00AF1EED" w:rsidRDefault="00A23387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50" type="#_x0000_t75" style="width:143pt;height:62.2pt" o:ole="">
            <v:imagedata r:id="rId66" o:title=""/>
          </v:shape>
          <o:OLEObject Type="Embed" ProgID="Equation.DSMT4" ShapeID="_x0000_i1050" DrawAspect="Content" ObjectID="_1509137357" r:id="rId6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2D6B0A" w:rsidRDefault="002D6B0A" w:rsidP="002D6B0A">
      <w:pPr>
        <w:pStyle w:val="Heading2"/>
      </w:pPr>
      <w:bookmarkStart w:id="16" w:name="_Toc435316042"/>
      <w:r>
        <w:t>Traffic Equations</w:t>
      </w:r>
      <w:bookmarkEnd w:id="16"/>
    </w:p>
    <w:p w:rsidR="002D6B0A" w:rsidRDefault="002D6B0A" w:rsidP="002D6B0A">
      <w:pPr>
        <w:pStyle w:val="NoSpacing"/>
      </w:pPr>
      <w:r>
        <w:t xml:space="preserve">For each node, what is the </w:t>
      </w:r>
      <w:r w:rsidR="00D53063">
        <w:t xml:space="preserve">number </w:t>
      </w:r>
      <w:r>
        <w:t xml:space="preserve">of </w:t>
      </w:r>
      <w:r w:rsidR="00D53063">
        <w:t>jobs</w:t>
      </w:r>
      <w:r>
        <w:t xml:space="preserve"> entering?</w:t>
      </w:r>
    </w:p>
    <w:p w:rsidR="002D6B0A" w:rsidRDefault="002D6B0A" w:rsidP="002D6B0A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</w:t>
      </w:r>
      <w:r w:rsidR="00D53063">
        <w:t>P</w:t>
      </w:r>
      <w:r w:rsidR="00D53063">
        <w:rPr>
          <w:vertAlign w:val="subscript"/>
        </w:rPr>
        <w:t>i,entering</w:t>
      </w:r>
      <w:proofErr w:type="spellEnd"/>
      <w:r w:rsidR="00D53063">
        <w:t xml:space="preserve"> </w:t>
      </w:r>
      <w:r w:rsidR="00D53063">
        <w:rPr>
          <w:rFonts w:ascii="Times New Roman" w:hAnsi="Times New Roman" w:cs="Times New Roman"/>
        </w:rPr>
        <w:t>∙</w:t>
      </w:r>
      <w:r w:rsidR="00D53063"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2D6B0A" w:rsidRDefault="002D6B0A" w:rsidP="002D6B0A">
      <w:pPr>
        <w:pStyle w:val="NoSpacing"/>
      </w:pPr>
    </w:p>
    <w:p w:rsidR="002D6B0A" w:rsidRDefault="00D53063" w:rsidP="002D6B0A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3751BD" w:rsidRDefault="003751BD" w:rsidP="003751BD">
      <w:pPr>
        <w:pStyle w:val="Heading1"/>
      </w:pPr>
      <w:r>
        <w:t>Questions</w:t>
      </w:r>
    </w:p>
    <w:p w:rsidR="003751BD" w:rsidRDefault="003751BD" w:rsidP="003751BD">
      <w:pPr>
        <w:pStyle w:val="NoSpacing"/>
        <w:numPr>
          <w:ilvl w:val="0"/>
          <w:numId w:val="9"/>
        </w:numPr>
      </w:pPr>
      <w:r>
        <w:t>Assignment 5, Q2 states in ready queue??</w:t>
      </w:r>
    </w:p>
    <w:p w:rsidR="003751BD" w:rsidRPr="003751BD" w:rsidRDefault="008051BB" w:rsidP="003751BD">
      <w:pPr>
        <w:pStyle w:val="NoSpacing"/>
        <w:numPr>
          <w:ilvl w:val="0"/>
          <w:numId w:val="9"/>
        </w:numPr>
      </w:pPr>
      <w:r>
        <w:t xml:space="preserve">Assignment </w:t>
      </w:r>
      <w:r w:rsidR="00623142">
        <w:t>6</w:t>
      </w:r>
      <w:r>
        <w:t>, Q</w:t>
      </w:r>
      <w:r w:rsidR="00623142">
        <w:t>3</w:t>
      </w:r>
      <w:r>
        <w:t xml:space="preserve">, </w:t>
      </w:r>
      <w:r w:rsidR="00623142">
        <w:t>M/M/C</w:t>
      </w:r>
    </w:p>
    <w:p w:rsidR="00B51E3E" w:rsidRPr="009F2EFB" w:rsidRDefault="00B51E3E" w:rsidP="009F2EFB">
      <w:pPr>
        <w:pStyle w:val="NoSpacing"/>
      </w:pPr>
    </w:p>
    <w:sectPr w:rsidR="00B51E3E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25164"/>
    <w:rsid w:val="00027EE9"/>
    <w:rsid w:val="00033D27"/>
    <w:rsid w:val="00044A54"/>
    <w:rsid w:val="00046240"/>
    <w:rsid w:val="00053091"/>
    <w:rsid w:val="00066607"/>
    <w:rsid w:val="00066B2C"/>
    <w:rsid w:val="00091E34"/>
    <w:rsid w:val="000B1EC7"/>
    <w:rsid w:val="000B6992"/>
    <w:rsid w:val="000C2748"/>
    <w:rsid w:val="000D19AB"/>
    <w:rsid w:val="000D675F"/>
    <w:rsid w:val="000E6CDA"/>
    <w:rsid w:val="001079E7"/>
    <w:rsid w:val="00117FC7"/>
    <w:rsid w:val="001250ED"/>
    <w:rsid w:val="0014791E"/>
    <w:rsid w:val="00150B85"/>
    <w:rsid w:val="00152B40"/>
    <w:rsid w:val="00187D5A"/>
    <w:rsid w:val="00190327"/>
    <w:rsid w:val="00192069"/>
    <w:rsid w:val="001A1CDD"/>
    <w:rsid w:val="001A6287"/>
    <w:rsid w:val="001B11C1"/>
    <w:rsid w:val="001C29C8"/>
    <w:rsid w:val="001C65C7"/>
    <w:rsid w:val="001E0AEB"/>
    <w:rsid w:val="001E1DAC"/>
    <w:rsid w:val="001E6ED2"/>
    <w:rsid w:val="00200930"/>
    <w:rsid w:val="00245C91"/>
    <w:rsid w:val="0026782C"/>
    <w:rsid w:val="00276123"/>
    <w:rsid w:val="00287906"/>
    <w:rsid w:val="002C152F"/>
    <w:rsid w:val="002D614D"/>
    <w:rsid w:val="002D6B0A"/>
    <w:rsid w:val="002E5DC1"/>
    <w:rsid w:val="002F1793"/>
    <w:rsid w:val="00310768"/>
    <w:rsid w:val="00313BC5"/>
    <w:rsid w:val="00330003"/>
    <w:rsid w:val="00343177"/>
    <w:rsid w:val="003751BD"/>
    <w:rsid w:val="003E1F65"/>
    <w:rsid w:val="003E4BAD"/>
    <w:rsid w:val="00410270"/>
    <w:rsid w:val="00432547"/>
    <w:rsid w:val="00432758"/>
    <w:rsid w:val="00432FAD"/>
    <w:rsid w:val="0045423C"/>
    <w:rsid w:val="004563FE"/>
    <w:rsid w:val="004A20CB"/>
    <w:rsid w:val="004A3554"/>
    <w:rsid w:val="004B57AF"/>
    <w:rsid w:val="004C4A6E"/>
    <w:rsid w:val="004D7F41"/>
    <w:rsid w:val="00565016"/>
    <w:rsid w:val="00566520"/>
    <w:rsid w:val="005E3790"/>
    <w:rsid w:val="00623142"/>
    <w:rsid w:val="00631142"/>
    <w:rsid w:val="006409EA"/>
    <w:rsid w:val="00640E97"/>
    <w:rsid w:val="00641EAC"/>
    <w:rsid w:val="00651721"/>
    <w:rsid w:val="0066047D"/>
    <w:rsid w:val="006D0BDC"/>
    <w:rsid w:val="006D209D"/>
    <w:rsid w:val="006D4BD5"/>
    <w:rsid w:val="006F0F21"/>
    <w:rsid w:val="006F5FD1"/>
    <w:rsid w:val="007130CB"/>
    <w:rsid w:val="007446E1"/>
    <w:rsid w:val="007447CB"/>
    <w:rsid w:val="007461B1"/>
    <w:rsid w:val="0076042C"/>
    <w:rsid w:val="00775C05"/>
    <w:rsid w:val="00786CA1"/>
    <w:rsid w:val="007C5AFD"/>
    <w:rsid w:val="008047EF"/>
    <w:rsid w:val="00804C3F"/>
    <w:rsid w:val="008051BB"/>
    <w:rsid w:val="008075C3"/>
    <w:rsid w:val="008355F8"/>
    <w:rsid w:val="00842FD2"/>
    <w:rsid w:val="008757FC"/>
    <w:rsid w:val="00884B2C"/>
    <w:rsid w:val="0089582B"/>
    <w:rsid w:val="008A5124"/>
    <w:rsid w:val="008A7A1A"/>
    <w:rsid w:val="008C7350"/>
    <w:rsid w:val="009000B0"/>
    <w:rsid w:val="00930450"/>
    <w:rsid w:val="0093184D"/>
    <w:rsid w:val="009424C1"/>
    <w:rsid w:val="00946B85"/>
    <w:rsid w:val="009836A6"/>
    <w:rsid w:val="00984750"/>
    <w:rsid w:val="00993329"/>
    <w:rsid w:val="00995124"/>
    <w:rsid w:val="009B6D67"/>
    <w:rsid w:val="009C1736"/>
    <w:rsid w:val="009F1A12"/>
    <w:rsid w:val="009F2EFB"/>
    <w:rsid w:val="00A04790"/>
    <w:rsid w:val="00A23387"/>
    <w:rsid w:val="00A30D4E"/>
    <w:rsid w:val="00A47B80"/>
    <w:rsid w:val="00A57C37"/>
    <w:rsid w:val="00A632DD"/>
    <w:rsid w:val="00A70019"/>
    <w:rsid w:val="00AA6D44"/>
    <w:rsid w:val="00AB50FE"/>
    <w:rsid w:val="00AD4810"/>
    <w:rsid w:val="00AD4D8C"/>
    <w:rsid w:val="00AE421C"/>
    <w:rsid w:val="00AE6A3B"/>
    <w:rsid w:val="00AE779D"/>
    <w:rsid w:val="00AF1EED"/>
    <w:rsid w:val="00B066C3"/>
    <w:rsid w:val="00B13A70"/>
    <w:rsid w:val="00B203E3"/>
    <w:rsid w:val="00B27379"/>
    <w:rsid w:val="00B42BD8"/>
    <w:rsid w:val="00B51E3E"/>
    <w:rsid w:val="00B75AFE"/>
    <w:rsid w:val="00B82BD0"/>
    <w:rsid w:val="00B92903"/>
    <w:rsid w:val="00BD05E1"/>
    <w:rsid w:val="00BE0ACB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92604"/>
    <w:rsid w:val="00C946E0"/>
    <w:rsid w:val="00CA2A1A"/>
    <w:rsid w:val="00CF65DB"/>
    <w:rsid w:val="00D0316B"/>
    <w:rsid w:val="00D04E66"/>
    <w:rsid w:val="00D21CEB"/>
    <w:rsid w:val="00D3367A"/>
    <w:rsid w:val="00D41CEA"/>
    <w:rsid w:val="00D53063"/>
    <w:rsid w:val="00D639AB"/>
    <w:rsid w:val="00D96766"/>
    <w:rsid w:val="00D97EB6"/>
    <w:rsid w:val="00DA0EBA"/>
    <w:rsid w:val="00DA6429"/>
    <w:rsid w:val="00DC18CB"/>
    <w:rsid w:val="00DD7FB7"/>
    <w:rsid w:val="00E15B41"/>
    <w:rsid w:val="00E46A41"/>
    <w:rsid w:val="00E66236"/>
    <w:rsid w:val="00E7124A"/>
    <w:rsid w:val="00EA6DD1"/>
    <w:rsid w:val="00EB630E"/>
    <w:rsid w:val="00ED19A0"/>
    <w:rsid w:val="00F02FBD"/>
    <w:rsid w:val="00F54F57"/>
    <w:rsid w:val="00F8728E"/>
    <w:rsid w:val="00F9543F"/>
    <w:rsid w:val="00FA5749"/>
    <w:rsid w:val="00FB58DB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74"/>
    <w:rsid w:val="00F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8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A40D-48CF-4600-84C6-DB96945C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134</cp:revision>
  <cp:lastPrinted>2015-11-16T04:55:00Z</cp:lastPrinted>
  <dcterms:created xsi:type="dcterms:W3CDTF">2015-09-16T18:53:00Z</dcterms:created>
  <dcterms:modified xsi:type="dcterms:W3CDTF">2015-11-16T04:55:00Z</dcterms:modified>
</cp:coreProperties>
</file>