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10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A7E72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68835" w:history="1">
            <w:r w:rsidR="000A7E72" w:rsidRPr="007C2E5C">
              <w:rPr>
                <w:rStyle w:val="Hyperlink"/>
                <w:noProof/>
              </w:rPr>
              <w:t>Introduction to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_Toc410868835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2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6" w:history="1">
            <w:r w:rsidR="000A7E72" w:rsidRPr="007C2E5C">
              <w:rPr>
                <w:rStyle w:val="Hyperlink"/>
                <w:noProof/>
              </w:rPr>
              <w:t>Laplace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_Toc410868836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2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7" w:history="1">
            <w:r w:rsidR="000A7E72" w:rsidRPr="007C2E5C">
              <w:rPr>
                <w:rStyle w:val="Hyperlink"/>
                <w:noProof/>
              </w:rPr>
              <w:t>Transfer Functions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_Toc410868837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3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8" w:history="1">
            <w:r w:rsidR="000A7E72" w:rsidRPr="007C2E5C">
              <w:rPr>
                <w:rStyle w:val="Hyperlink"/>
                <w:noProof/>
              </w:rPr>
              <w:t>Electrical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_Toc410868838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3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9" w:history="1">
            <w:r w:rsidR="000A7E72" w:rsidRPr="007C2E5C">
              <w:rPr>
                <w:rStyle w:val="Hyperlink"/>
                <w:noProof/>
              </w:rPr>
              <w:t>Component stuff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_Toc410868839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3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0" w:history="1">
            <w:r w:rsidR="000A7E72" w:rsidRPr="007C2E5C">
              <w:rPr>
                <w:rStyle w:val="Hyperlink"/>
                <w:noProof/>
              </w:rPr>
              <w:t>Mesh Analysis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_Toc410868840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1" w:history="1">
            <w:r w:rsidR="000A7E72" w:rsidRPr="007C2E5C">
              <w:rPr>
                <w:rStyle w:val="Hyperlink"/>
                <w:noProof/>
              </w:rPr>
              <w:t>Cramer’s Rule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_Toc410868841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2" w:history="1">
            <w:r w:rsidR="000A7E72" w:rsidRPr="007C2E5C">
              <w:rPr>
                <w:rStyle w:val="Hyperlink"/>
                <w:noProof/>
              </w:rPr>
              <w:t>OP-Amps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_Toc410868842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3" w:history="1">
            <w:r w:rsidR="000A7E72" w:rsidRPr="007C2E5C">
              <w:rPr>
                <w:rStyle w:val="Hyperlink"/>
                <w:noProof/>
              </w:rPr>
              <w:t>Mechanical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_Toc410868843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4" w:history="1">
            <w:r w:rsidR="000A7E72" w:rsidRPr="007C2E5C">
              <w:rPr>
                <w:rStyle w:val="Hyperlink"/>
                <w:noProof/>
              </w:rPr>
              <w:t>Translational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_Toc410868844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5" w:history="1">
            <w:r w:rsidR="000A7E72" w:rsidRPr="007C2E5C">
              <w:rPr>
                <w:rStyle w:val="Hyperlink"/>
                <w:noProof/>
              </w:rPr>
              <w:t>Rotational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_Toc410868845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5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6" w:history="1">
            <w:r w:rsidR="000A7E72" w:rsidRPr="007C2E5C">
              <w:rPr>
                <w:rStyle w:val="Hyperlink"/>
                <w:noProof/>
              </w:rPr>
              <w:t>Signals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_Toc410868846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6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7" w:history="1">
            <w:r w:rsidR="000A7E72" w:rsidRPr="007C2E5C">
              <w:rPr>
                <w:rStyle w:val="Hyperlink"/>
                <w:noProof/>
              </w:rPr>
              <w:t>Final Value Theorem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_Toc410868847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7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8" w:history="1">
            <w:r w:rsidR="000A7E72" w:rsidRPr="007C2E5C">
              <w:rPr>
                <w:rStyle w:val="Hyperlink"/>
                <w:noProof/>
              </w:rPr>
              <w:t>Graph Stuff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_Toc410868848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8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9" w:history="1">
            <w:r w:rsidR="000A7E72" w:rsidRPr="007C2E5C">
              <w:rPr>
                <w:rStyle w:val="Hyperlink"/>
                <w:noProof/>
              </w:rPr>
              <w:t>Non-/Linear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_Toc410868849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9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50" w:history="1">
            <w:r w:rsidR="000A7E72" w:rsidRPr="007C2E5C">
              <w:rPr>
                <w:rStyle w:val="Hyperlink"/>
                <w:noProof/>
              </w:rPr>
              <w:t>Block Diagrams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_Toc410868850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9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51" w:history="1">
            <w:r w:rsidR="000A7E72" w:rsidRPr="007C2E5C">
              <w:rPr>
                <w:rStyle w:val="Hyperlink"/>
                <w:noProof/>
              </w:rPr>
              <w:t>State Space Equations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_Toc410868851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10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B53A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52" w:history="1">
            <w:r w:rsidR="000A7E72" w:rsidRPr="007C2E5C">
              <w:rPr>
                <w:rStyle w:val="Hyperlink"/>
                <w:noProof/>
              </w:rPr>
              <w:t>Transfer Function -&gt; State Space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_Toc410868852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10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B53A87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B53A87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B53A87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0868835"/>
      <w:r>
        <w:lastRenderedPageBreak/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0868836"/>
      <w:r>
        <w:t>Laplace</w:t>
      </w:r>
      <w:bookmarkEnd w:id="1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36.3pt" o:ole="">
            <v:imagedata r:id="rId14" o:title=""/>
          </v:shape>
          <o:OLEObject Type="Embed" ProgID="Equation.DSMT4" ShapeID="_x0000_i1025" DrawAspect="Content" ObjectID="_1485009989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0868837"/>
      <w:r>
        <w:lastRenderedPageBreak/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0868838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0868839"/>
      <w:r>
        <w:t>Component stuff</w:t>
      </w:r>
      <w:bookmarkEnd w:id="4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1pt;height:36.95pt" o:ole="">
            <v:imagedata r:id="rId17" o:title=""/>
          </v:shape>
          <o:OLEObject Type="Embed" ProgID="Equation.DSMT4" ShapeID="_x0000_i1026" DrawAspect="Content" ObjectID="_1485009990" r:id="rId18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.15pt;height:68.25pt" o:ole="">
            <v:imagedata r:id="rId19" o:title=""/>
          </v:shape>
          <o:OLEObject Type="Embed" ProgID="Equation.DSMT4" ShapeID="_x0000_i1027" DrawAspect="Content" ObjectID="_1485009991" r:id="rId20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2pt;height:68.25pt" o:ole="">
            <v:imagedata r:id="rId21" o:title=""/>
          </v:shape>
          <o:OLEObject Type="Embed" ProgID="Equation.DSMT4" ShapeID="_x0000_i1028" DrawAspect="Content" ObjectID="_1485009992" r:id="rId22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15pt;height:70.1pt" o:ole="">
            <v:imagedata r:id="rId23" o:title=""/>
          </v:shape>
          <o:OLEObject Type="Embed" ProgID="Equation.DSMT4" ShapeID="_x0000_i1029" DrawAspect="Content" ObjectID="_1485009993" r:id="rId24"/>
        </w:object>
      </w:r>
    </w:p>
    <w:p w:rsidR="006D4D37" w:rsidRDefault="006D4D37" w:rsidP="00CE078B">
      <w:pPr>
        <w:pStyle w:val="NoSpacing"/>
      </w:pPr>
    </w:p>
    <w:p w:rsidR="00D67D9A" w:rsidRDefault="00D67D9A" w:rsidP="00CE078B">
      <w:pPr>
        <w:pStyle w:val="NoSpacing"/>
      </w:pPr>
      <w:r>
        <w:t>Polarized capacitors:</w:t>
      </w:r>
      <w:r w:rsidR="00F7746B">
        <w:t xml:space="preserve"> Z is</w:t>
      </w:r>
      <w:r w:rsidR="00260C8E">
        <w:t xml:space="preserve"> positive when current is going </w:t>
      </w:r>
      <w:r w:rsidR="00F7746B">
        <w:t xml:space="preserve">from </w:t>
      </w:r>
      <w:r w:rsidR="00B6751B">
        <w:t>−</w:t>
      </w:r>
      <w:r w:rsidR="00F7746B">
        <w:t xml:space="preserve"> to </w:t>
      </w:r>
      <w:r w:rsidR="00B6751B">
        <w:t>+</w:t>
      </w:r>
      <w:r w:rsidR="00F7746B">
        <w:t xml:space="preserve">, but </w:t>
      </w:r>
      <w:r w:rsidR="00B6751B">
        <w:t>negative from + to −</w:t>
      </w:r>
    </w:p>
    <w:p w:rsidR="00687E09" w:rsidRPr="00AD05E7" w:rsidRDefault="00687E09" w:rsidP="00CE078B">
      <w:pPr>
        <w:pStyle w:val="NoSpacing"/>
      </w:pPr>
    </w:p>
    <w:p w:rsidR="00D67D9A" w:rsidRPr="00D67D9A" w:rsidRDefault="00CE078B" w:rsidP="00F712D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255875" cy="1505842"/>
            <wp:effectExtent l="0" t="0" r="1905" b="0"/>
            <wp:docPr id="6" name="Picture 6" descr="https://upload.wikimedia.org/wikipedia/commons/thumb/1/1c/Types_of_capacitor.svg/800px-Types_of_capacitor.sv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commons/thumb/1/1c/Types_of_capacitor.svg/800px-Types_of_capacitor.svg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75" cy="15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05pt;height:36.95pt" o:ole="">
            <v:imagedata r:id="rId27" o:title=""/>
          </v:shape>
          <o:OLEObject Type="Embed" ProgID="Equation.DSMT4" ShapeID="_x0000_i1030" DrawAspect="Content" ObjectID="_1485009994" r:id="rId28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8.9pt;height:68.25pt" o:ole="">
            <v:imagedata r:id="rId29" o:title=""/>
          </v:shape>
          <o:OLEObject Type="Embed" ProgID="Equation.DSMT4" ShapeID="_x0000_i1031" DrawAspect="Content" ObjectID="_1485009995" r:id="rId30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0868840"/>
      <w:r>
        <w:t>Mesh Analysis</w:t>
      </w:r>
      <w:bookmarkEnd w:id="5"/>
    </w:p>
    <w:p w:rsidR="00D33362" w:rsidRPr="005943DD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5704B" w:rsidRDefault="00AF0E10" w:rsidP="00AF0E10">
      <w:pPr>
        <w:pStyle w:val="Heading3"/>
      </w:pPr>
      <w:bookmarkStart w:id="6" w:name="_Toc410868841"/>
      <w:r>
        <w:t>Cramer’s Rule</w:t>
      </w:r>
      <w:bookmarkEnd w:id="6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.25pt;height:36.95pt" o:ole="">
            <v:imagedata r:id="rId32" o:title=""/>
          </v:shape>
          <o:OLEObject Type="Embed" ProgID="Equation.DSMT4" ShapeID="_x0000_i1032" DrawAspect="Content" ObjectID="_1485009996" r:id="rId33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5pt;height:43.85pt" o:ole="">
            <v:imagedata r:id="rId34" o:title=""/>
          </v:shape>
          <o:OLEObject Type="Embed" ProgID="Equation.DSMT4" ShapeID="_x0000_i1033" DrawAspect="Content" ObjectID="_1485009997" r:id="rId35"/>
        </w:object>
      </w:r>
    </w:p>
    <w:p w:rsidR="000D72E5" w:rsidRDefault="000D72E5" w:rsidP="000753A3">
      <w:pPr>
        <w:pStyle w:val="Heading3"/>
      </w:pPr>
      <w:bookmarkStart w:id="7" w:name="_Toc410868842"/>
      <w:r>
        <w:t>OP-Amps</w:t>
      </w:r>
      <w:bookmarkEnd w:id="7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8" w:name="_Toc410868843"/>
      <w:r>
        <w:t>Mechanical</w:t>
      </w:r>
      <w:bookmarkEnd w:id="8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3.9pt;height:36.95pt" o:ole="">
            <v:imagedata r:id="rId36" o:title=""/>
          </v:shape>
          <o:OLEObject Type="Embed" ProgID="Equation.DSMT4" ShapeID="_x0000_i1034" DrawAspect="Content" ObjectID="_1485009998" r:id="rId37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70.1pt;height:51.95pt" o:ole="">
            <v:imagedata r:id="rId38" o:title=""/>
          </v:shape>
          <o:OLEObject Type="Embed" ProgID="Equation.DSMT4" ShapeID="_x0000_i1035" DrawAspect="Content" ObjectID="_1485009999" r:id="rId39"/>
        </w:object>
      </w:r>
    </w:p>
    <w:p w:rsidR="00DC62D2" w:rsidRDefault="00DC62D2" w:rsidP="00DC62D2">
      <w:pPr>
        <w:pStyle w:val="Heading3"/>
      </w:pPr>
      <w:bookmarkStart w:id="9" w:name="_Toc410868844"/>
      <w:r>
        <w:t>Translational Systems</w:t>
      </w:r>
      <w:bookmarkEnd w:id="9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4A171A" w:rsidRDefault="004A171A" w:rsidP="004A171A">
      <w:pPr>
        <w:pStyle w:val="NoSpacing"/>
      </w:pPr>
      <w:r>
        <w:lastRenderedPageBreak/>
        <w:t xml:space="preserve">Also, include “inertial force in it” = </w:t>
      </w:r>
      <w:r w:rsidRPr="004A171A">
        <w:rPr>
          <w:position w:val="-24"/>
        </w:rPr>
        <w:object w:dxaOrig="639" w:dyaOrig="660">
          <v:shape id="_x0000_i1036" type="#_x0000_t75" style="width:31.95pt;height:33.2pt" o:ole="">
            <v:imagedata r:id="rId40" o:title=""/>
          </v:shape>
          <o:OLEObject Type="Embed" ProgID="Equation.DSMT4" ShapeID="_x0000_i1036" DrawAspect="Content" ObjectID="_1485010000" r:id="rId41"/>
        </w:object>
      </w:r>
      <w:r w:rsidR="00F21FA6">
        <w:t>, which is in the opposite direction of the applied force</w:t>
      </w: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7" type="#_x0000_t75" style="width:175.3pt;height:38.2pt" o:ole="">
            <v:imagedata r:id="rId42" o:title=""/>
          </v:shape>
          <o:OLEObject Type="Embed" ProgID="Equation.DSMT4" ShapeID="_x0000_i1037" DrawAspect="Content" ObjectID="_1485010001" r:id="rId43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8" type="#_x0000_t75" style="width:41.95pt;height:63.85pt" o:ole="">
            <v:imagedata r:id="rId44" o:title=""/>
          </v:shape>
          <o:OLEObject Type="Embed" ProgID="Equation.DSMT4" ShapeID="_x0000_i1038" DrawAspect="Content" ObjectID="_1485010002" r:id="rId45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9" type="#_x0000_t75" style="width:36.95pt;height:1in" o:ole="">
            <v:imagedata r:id="rId46" o:title=""/>
          </v:shape>
          <o:OLEObject Type="Embed" ProgID="Equation.DSMT4" ShapeID="_x0000_i1039" DrawAspect="Content" ObjectID="_1485010003" r:id="rId47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40" type="#_x0000_t75" style="width:211pt;height:73.9pt" o:ole="">
            <v:imagedata r:id="rId48" o:title=""/>
          </v:shape>
          <o:OLEObject Type="Embed" ProgID="Equation.DSMT4" ShapeID="_x0000_i1040" DrawAspect="Content" ObjectID="_1485010004" r:id="rId49"/>
        </w:object>
      </w:r>
    </w:p>
    <w:p w:rsidR="00190F98" w:rsidRPr="004A171A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1" type="#_x0000_t75" style="width:209.75pt;height:73.9pt" o:ole="">
            <v:imagedata r:id="rId50" o:title=""/>
          </v:shape>
          <o:OLEObject Type="Embed" ProgID="Equation.DSMT4" ShapeID="_x0000_i1041" DrawAspect="Content" ObjectID="_1485010005" r:id="rId51"/>
        </w:objec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2" type="#_x0000_t75" style="width:67pt;height:20.05pt" o:ole="">
            <v:imagedata r:id="rId52" o:title=""/>
          </v:shape>
          <o:OLEObject Type="Embed" ProgID="Equation.DSMT4" ShapeID="_x0000_i1042" DrawAspect="Content" ObjectID="_1485010006" r:id="rId53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3" type="#_x0000_t75" style="width:78.25pt;height:33.2pt" o:ole="">
            <v:imagedata r:id="rId54" o:title=""/>
          </v:shape>
          <o:OLEObject Type="Embed" ProgID="Equation.DSMT4" ShapeID="_x0000_i1043" DrawAspect="Content" ObjectID="_1485010007" r:id="rId55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15pt;height:33.8pt" o:ole="">
            <v:imagedata r:id="rId56" o:title=""/>
          </v:shape>
          <o:OLEObject Type="Embed" ProgID="Equation.DSMT4" ShapeID="_x0000_i1044" DrawAspect="Content" ObjectID="_1485010008" r:id="rId57"/>
        </w:object>
      </w:r>
    </w:p>
    <w:p w:rsidR="00DC62D2" w:rsidRDefault="00DC62D2" w:rsidP="00DC62D2">
      <w:pPr>
        <w:pStyle w:val="Heading3"/>
      </w:pPr>
      <w:bookmarkStart w:id="10" w:name="_Toc410868845"/>
      <w:r>
        <w:lastRenderedPageBreak/>
        <w:t>Rotational Systems</w:t>
      </w:r>
      <w:bookmarkEnd w:id="10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70.1pt;height:36.95pt" o:ole="">
            <v:imagedata r:id="rId58" o:title=""/>
          </v:shape>
          <o:OLEObject Type="Embed" ProgID="Equation.DSMT4" ShapeID="_x0000_i1045" DrawAspect="Content" ObjectID="_1485010009" r:id="rId59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3108728" cy="2154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10571" cy="21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lastRenderedPageBreak/>
        <w:t>Motors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>
        <w:t xml:space="preserve">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.25pt;height:33.8pt" o:ole="">
            <v:imagedata r:id="rId64" o:title=""/>
          </v:shape>
          <o:OLEObject Type="Embed" ProgID="Equation.DSMT4" ShapeID="_x0000_i1046" DrawAspect="Content" ObjectID="_1485010010" r:id="rId65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75pt;height:33.8pt" o:ole="">
            <v:imagedata r:id="rId66" o:title=""/>
          </v:shape>
          <o:OLEObject Type="Embed" ProgID="Equation.DSMT4" ShapeID="_x0000_i1047" DrawAspect="Content" ObjectID="_1485010011" r:id="rId67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25pt;height:33.8pt" o:ole="">
            <v:imagedata r:id="rId68" o:title=""/>
          </v:shape>
          <o:OLEObject Type="Embed" ProgID="Equation.DSMT4" ShapeID="_x0000_i1048" DrawAspect="Content" ObjectID="_1485010012" r:id="rId69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[J</w:t>
      </w:r>
      <w:r>
        <w:rPr>
          <w:vertAlign w:val="subscript"/>
        </w:rPr>
        <w:t>a</w:t>
      </w:r>
      <w:r>
        <w:t>]: motor J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[J</w:t>
      </w:r>
      <w:r>
        <w:rPr>
          <w:vertAlign w:val="subscript"/>
        </w:rPr>
        <w:t>m</w:t>
      </w:r>
      <w:r>
        <w:t>]:</w:t>
      </w:r>
      <w:r w:rsidR="00151B49" w:rsidRPr="00DC6AB7">
        <w:rPr>
          <w:position w:val="-32"/>
        </w:rPr>
        <w:object w:dxaOrig="2420" w:dyaOrig="800">
          <v:shape id="_x0000_i1049" type="#_x0000_t75" style="width:120.85pt;height:40.05pt" o:ole="">
            <v:imagedata r:id="rId71" o:title=""/>
          </v:shape>
          <o:OLEObject Type="Embed" ProgID="Equation.DSMT4" ShapeID="_x0000_i1049" DrawAspect="Content" ObjectID="_1485010013" r:id="rId72"/>
        </w:object>
      </w:r>
      <w:r w:rsidR="00B64BAB">
        <w:t>g</w:t>
      </w:r>
    </w:p>
    <w:p w:rsidR="00001E76" w:rsidRP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1pt;height:40.05pt" o:ole="">
            <v:imagedata r:id="rId73" o:title=""/>
          </v:shape>
          <o:OLEObject Type="Embed" ProgID="Equation.DSMT4" ShapeID="_x0000_i1050" DrawAspect="Content" ObjectID="_1485010014" r:id="rId74"/>
        </w:object>
      </w:r>
    </w:p>
    <w:p w:rsidR="00DC6056" w:rsidRDefault="00DC6056" w:rsidP="00DC6056">
      <w:pPr>
        <w:pStyle w:val="Heading2"/>
      </w:pPr>
      <w:bookmarkStart w:id="11" w:name="_Toc410868846"/>
      <w:r>
        <w:t>Signals</w:t>
      </w:r>
      <w:bookmarkEnd w:id="11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lastRenderedPageBreak/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1" type="#_x0000_t75" style="width:63.25pt;height:23.15pt" o:ole="">
            <v:imagedata r:id="rId75" o:title=""/>
          </v:shape>
          <o:OLEObject Type="Embed" ProgID="Equation.DSMT4" ShapeID="_x0000_i1051" DrawAspect="Content" ObjectID="_1485010015" r:id="rId76"/>
        </w:object>
      </w:r>
    </w:p>
    <w:p w:rsidR="00A53D93" w:rsidRDefault="00A53D93" w:rsidP="00A53D93">
      <w:pPr>
        <w:pStyle w:val="Heading3"/>
      </w:pPr>
      <w:bookmarkStart w:id="12" w:name="_Toc410868847"/>
      <w:r>
        <w:t>Final Value Theorem</w:t>
      </w:r>
      <w:bookmarkEnd w:id="12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2" type="#_x0000_t75" style="width:103.3pt;height:23.15pt" o:ole="">
            <v:imagedata r:id="rId77" o:title=""/>
          </v:shape>
          <o:OLEObject Type="Embed" ProgID="Equation.DSMT4" ShapeID="_x0000_i1052" DrawAspect="Content" ObjectID="_1485010016" r:id="rId78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3" type="#_x0000_t75" style="width:73.9pt;height:23.15pt" o:ole="">
            <v:imagedata r:id="rId79" o:title=""/>
          </v:shape>
          <o:OLEObject Type="Embed" ProgID="Equation.DSMT4" ShapeID="_x0000_i1053" DrawAspect="Content" ObjectID="_1485010017" r:id="rId80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lastRenderedPageBreak/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4" type="#_x0000_t75" style="width:43.85pt;height:31.3pt" o:ole="">
            <v:imagedata r:id="rId85" o:title=""/>
          </v:shape>
          <o:OLEObject Type="Embed" ProgID="Equation.DSMT4" ShapeID="_x0000_i1054" DrawAspect="Content" ObjectID="_1485010018" r:id="rId86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3" w:name="_Toc410868848"/>
      <w:r>
        <w:t>Graph Stuff</w:t>
      </w:r>
      <w:bookmarkEnd w:id="13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5" type="#_x0000_t75" style="width:125.85pt;height:33.8pt" o:ole="">
            <v:imagedata r:id="rId87" o:title=""/>
          </v:shape>
          <o:OLEObject Type="Embed" ProgID="Equation.DSMT4" ShapeID="_x0000_i1055" DrawAspect="Content" ObjectID="_1485010019" r:id="rId88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c</w:t>
      </w:r>
      <w:r w:rsidR="00FF4804" w:rsidRPr="00FF4804">
        <w:rPr>
          <w:vertAlign w:val="subscript"/>
        </w:rPr>
        <w:t>final</w:t>
      </w:r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6" type="#_x0000_t75" style="width:60.1pt;height:18.15pt" o:ole="">
            <v:imagedata r:id="rId91" o:title=""/>
          </v:shape>
          <o:OLEObject Type="Embed" ProgID="Equation.DSMT4" ShapeID="_x0000_i1056" DrawAspect="Content" ObjectID="_1485010020" r:id="rId92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57" type="#_x0000_t75" style="width:160.9pt;height:33.8pt" o:ole="">
            <v:imagedata r:id="rId93" o:title=""/>
          </v:shape>
          <o:OLEObject Type="Embed" ProgID="Equation.DSMT4" ShapeID="_x0000_i1057" DrawAspect="Content" ObjectID="_1485010021" r:id="rId94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r>
        <w:rPr>
          <w:b/>
        </w:rPr>
        <w:t>Nonminium-phase system</w:t>
      </w:r>
      <w:r>
        <w:t xml:space="preserve">: </w:t>
      </w:r>
      <w:r w:rsidR="00AE7590">
        <w:t>Initially the system starts in the wrong direction, then stabilizes at the right place</w:t>
      </w:r>
      <w:bookmarkStart w:id="14" w:name="_GoBack"/>
      <w:bookmarkEnd w:id="14"/>
    </w:p>
    <w:p w:rsidR="00AF3069" w:rsidRDefault="008F48CE" w:rsidP="008349BB">
      <w:pPr>
        <w:pStyle w:val="Heading1"/>
      </w:pPr>
      <w:bookmarkStart w:id="15" w:name="_Toc410868849"/>
      <w:r>
        <w:t>Non-/Linear Systems</w:t>
      </w:r>
      <w:bookmarkEnd w:id="15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6" w:name="_Toc410868850"/>
      <w:r>
        <w:t>Block Diagrams</w:t>
      </w:r>
      <w:bookmarkEnd w:id="16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58" type="#_x0000_t75" style="width:1in;height:36.95pt" o:ole="">
            <v:imagedata r:id="rId96" o:title=""/>
          </v:shape>
          <o:OLEObject Type="Embed" ProgID="Equation.DSMT4" ShapeID="_x0000_i1058" DrawAspect="Content" ObjectID="_1485010022" r:id="rId97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59" type="#_x0000_t75" style="width:1in;height:36.95pt" o:ole="">
            <v:imagedata r:id="rId98" o:title=""/>
          </v:shape>
          <o:OLEObject Type="Embed" ProgID="Equation.DSMT4" ShapeID="_x0000_i1059" DrawAspect="Content" ObjectID="_1485010023" r:id="rId99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7" w:name="_Toc410868851"/>
      <w:r>
        <w:t>State Space Equations</w:t>
      </w:r>
      <w:bookmarkEnd w:id="17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8" w:name="_Toc410868852"/>
      <w:r>
        <w:t>Transfer Function -&gt; State Space</w:t>
      </w:r>
      <w:bookmarkEnd w:id="18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A87" w:rsidRDefault="00B53A87" w:rsidP="00756214">
      <w:pPr>
        <w:spacing w:after="0" w:line="240" w:lineRule="auto"/>
      </w:pPr>
      <w:r>
        <w:separator/>
      </w:r>
    </w:p>
  </w:endnote>
  <w:endnote w:type="continuationSeparator" w:id="0">
    <w:p w:rsidR="00B53A87" w:rsidRDefault="00B53A8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E7590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E759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A87" w:rsidRDefault="00B53A87" w:rsidP="00756214">
      <w:pPr>
        <w:spacing w:after="0" w:line="240" w:lineRule="auto"/>
      </w:pPr>
      <w:r>
        <w:separator/>
      </w:r>
    </w:p>
  </w:footnote>
  <w:footnote w:type="continuationSeparator" w:id="0">
    <w:p w:rsidR="00B53A87" w:rsidRDefault="00B53A87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7C9E1F9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77D7"/>
    <w:rsid w:val="000A327D"/>
    <w:rsid w:val="000A75E2"/>
    <w:rsid w:val="000A7E72"/>
    <w:rsid w:val="000A7F0B"/>
    <w:rsid w:val="000D72E5"/>
    <w:rsid w:val="000E3E0B"/>
    <w:rsid w:val="000E515D"/>
    <w:rsid w:val="000F24FC"/>
    <w:rsid w:val="0012273C"/>
    <w:rsid w:val="001234D4"/>
    <w:rsid w:val="00151B49"/>
    <w:rsid w:val="00152DA1"/>
    <w:rsid w:val="00152F27"/>
    <w:rsid w:val="0015416A"/>
    <w:rsid w:val="00173223"/>
    <w:rsid w:val="00190F98"/>
    <w:rsid w:val="001C0472"/>
    <w:rsid w:val="001C348C"/>
    <w:rsid w:val="001D0154"/>
    <w:rsid w:val="001D046B"/>
    <w:rsid w:val="001D5D8C"/>
    <w:rsid w:val="0022021D"/>
    <w:rsid w:val="0022167E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31AC"/>
    <w:rsid w:val="002F1638"/>
    <w:rsid w:val="00300ECA"/>
    <w:rsid w:val="00330763"/>
    <w:rsid w:val="00336F76"/>
    <w:rsid w:val="00355B04"/>
    <w:rsid w:val="00357AE5"/>
    <w:rsid w:val="00374770"/>
    <w:rsid w:val="00395B6C"/>
    <w:rsid w:val="0039761C"/>
    <w:rsid w:val="003A6FF3"/>
    <w:rsid w:val="003B12FD"/>
    <w:rsid w:val="003B63FB"/>
    <w:rsid w:val="003B6E33"/>
    <w:rsid w:val="003C1B25"/>
    <w:rsid w:val="003C5B68"/>
    <w:rsid w:val="003D2536"/>
    <w:rsid w:val="003D305B"/>
    <w:rsid w:val="00403118"/>
    <w:rsid w:val="00425CD7"/>
    <w:rsid w:val="00450CFC"/>
    <w:rsid w:val="00452795"/>
    <w:rsid w:val="004604F4"/>
    <w:rsid w:val="00466130"/>
    <w:rsid w:val="00482D80"/>
    <w:rsid w:val="00490CA9"/>
    <w:rsid w:val="004920A9"/>
    <w:rsid w:val="0049498D"/>
    <w:rsid w:val="004A0480"/>
    <w:rsid w:val="004A171A"/>
    <w:rsid w:val="004C4249"/>
    <w:rsid w:val="004D6CEF"/>
    <w:rsid w:val="004E73CE"/>
    <w:rsid w:val="004F6919"/>
    <w:rsid w:val="00511AE6"/>
    <w:rsid w:val="00517D74"/>
    <w:rsid w:val="005206E1"/>
    <w:rsid w:val="00525FB2"/>
    <w:rsid w:val="00535BFD"/>
    <w:rsid w:val="00543819"/>
    <w:rsid w:val="00586C77"/>
    <w:rsid w:val="005904A3"/>
    <w:rsid w:val="005943DD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4D37"/>
    <w:rsid w:val="006F14BE"/>
    <w:rsid w:val="006F32F4"/>
    <w:rsid w:val="006F73D8"/>
    <w:rsid w:val="00710E9B"/>
    <w:rsid w:val="00712645"/>
    <w:rsid w:val="00735269"/>
    <w:rsid w:val="0073629D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52483"/>
    <w:rsid w:val="008A7674"/>
    <w:rsid w:val="008C2406"/>
    <w:rsid w:val="008D698D"/>
    <w:rsid w:val="008F48CE"/>
    <w:rsid w:val="008F7449"/>
    <w:rsid w:val="00915642"/>
    <w:rsid w:val="0091582B"/>
    <w:rsid w:val="009256A3"/>
    <w:rsid w:val="00933777"/>
    <w:rsid w:val="00965F5C"/>
    <w:rsid w:val="00972070"/>
    <w:rsid w:val="009764E2"/>
    <w:rsid w:val="009A5B49"/>
    <w:rsid w:val="009C360F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6633"/>
    <w:rsid w:val="00A908E3"/>
    <w:rsid w:val="00A91405"/>
    <w:rsid w:val="00AA6E3E"/>
    <w:rsid w:val="00AB0BAC"/>
    <w:rsid w:val="00AC61F2"/>
    <w:rsid w:val="00AD05E7"/>
    <w:rsid w:val="00AE2941"/>
    <w:rsid w:val="00AE5EF4"/>
    <w:rsid w:val="00AE7590"/>
    <w:rsid w:val="00AF0E10"/>
    <w:rsid w:val="00AF1138"/>
    <w:rsid w:val="00AF3069"/>
    <w:rsid w:val="00B03764"/>
    <w:rsid w:val="00B15551"/>
    <w:rsid w:val="00B16440"/>
    <w:rsid w:val="00B333B4"/>
    <w:rsid w:val="00B36304"/>
    <w:rsid w:val="00B46292"/>
    <w:rsid w:val="00B52EB1"/>
    <w:rsid w:val="00B53A87"/>
    <w:rsid w:val="00B64BAB"/>
    <w:rsid w:val="00B650E2"/>
    <w:rsid w:val="00B6751B"/>
    <w:rsid w:val="00B705F0"/>
    <w:rsid w:val="00BB1364"/>
    <w:rsid w:val="00BB7AEB"/>
    <w:rsid w:val="00BD32CB"/>
    <w:rsid w:val="00C14AD7"/>
    <w:rsid w:val="00C30633"/>
    <w:rsid w:val="00C512DC"/>
    <w:rsid w:val="00C51C4A"/>
    <w:rsid w:val="00C61037"/>
    <w:rsid w:val="00C8437F"/>
    <w:rsid w:val="00C86AD3"/>
    <w:rsid w:val="00CB5FE7"/>
    <w:rsid w:val="00CC0086"/>
    <w:rsid w:val="00CC17E6"/>
    <w:rsid w:val="00CE078B"/>
    <w:rsid w:val="00CE6623"/>
    <w:rsid w:val="00CF50C1"/>
    <w:rsid w:val="00D010F2"/>
    <w:rsid w:val="00D0383A"/>
    <w:rsid w:val="00D2428D"/>
    <w:rsid w:val="00D25122"/>
    <w:rsid w:val="00D33362"/>
    <w:rsid w:val="00D33D87"/>
    <w:rsid w:val="00D67D9A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A4A"/>
    <w:rsid w:val="00E06076"/>
    <w:rsid w:val="00E33114"/>
    <w:rsid w:val="00E561DD"/>
    <w:rsid w:val="00E72D47"/>
    <w:rsid w:val="00E849CC"/>
    <w:rsid w:val="00EC2597"/>
    <w:rsid w:val="00EC58F1"/>
    <w:rsid w:val="00ED0791"/>
    <w:rsid w:val="00ED5F75"/>
    <w:rsid w:val="00ED613A"/>
    <w:rsid w:val="00EF06DD"/>
    <w:rsid w:val="00F21FA6"/>
    <w:rsid w:val="00F259C8"/>
    <w:rsid w:val="00F34C3D"/>
    <w:rsid w:val="00F37264"/>
    <w:rsid w:val="00F47BBB"/>
    <w:rsid w:val="00F54DF7"/>
    <w:rsid w:val="00F5704B"/>
    <w:rsid w:val="00F57085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5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5.bin"/><Relationship Id="rId63" Type="http://schemas.openxmlformats.org/officeDocument/2006/relationships/image" Target="media/image28.png"/><Relationship Id="rId68" Type="http://schemas.openxmlformats.org/officeDocument/2006/relationships/image" Target="media/image31.wmf"/><Relationship Id="rId84" Type="http://schemas.openxmlformats.org/officeDocument/2006/relationships/image" Target="media/image41.png"/><Relationship Id="rId89" Type="http://schemas.openxmlformats.org/officeDocument/2006/relationships/image" Target="media/image44.png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9.wmf"/><Relationship Id="rId107" Type="http://schemas.openxmlformats.org/officeDocument/2006/relationships/fontTable" Target="fontTable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5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image" Target="media/image24.wmf"/><Relationship Id="rId66" Type="http://schemas.openxmlformats.org/officeDocument/2006/relationships/image" Target="media/image30.wmf"/><Relationship Id="rId74" Type="http://schemas.openxmlformats.org/officeDocument/2006/relationships/oleObject" Target="embeddings/oleObject26.bin"/><Relationship Id="rId79" Type="http://schemas.openxmlformats.org/officeDocument/2006/relationships/image" Target="media/image37.wmf"/><Relationship Id="rId87" Type="http://schemas.openxmlformats.org/officeDocument/2006/relationships/image" Target="media/image43.wmf"/><Relationship Id="rId102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image" Target="media/image26.png"/><Relationship Id="rId82" Type="http://schemas.openxmlformats.org/officeDocument/2006/relationships/image" Target="media/image39.png"/><Relationship Id="rId90" Type="http://schemas.openxmlformats.org/officeDocument/2006/relationships/image" Target="media/image45.png"/><Relationship Id="rId95" Type="http://schemas.openxmlformats.org/officeDocument/2006/relationships/image" Target="media/image48.png"/><Relationship Id="rId19" Type="http://schemas.openxmlformats.org/officeDocument/2006/relationships/image" Target="media/image4.wmf"/><Relationship Id="rId14" Type="http://schemas.openxmlformats.org/officeDocument/2006/relationships/image" Target="media/image1.wmf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51.png"/><Relationship Id="rId105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5.bin"/><Relationship Id="rId80" Type="http://schemas.openxmlformats.org/officeDocument/2006/relationships/oleObject" Target="embeddings/oleObject29.bin"/><Relationship Id="rId85" Type="http://schemas.openxmlformats.org/officeDocument/2006/relationships/image" Target="media/image42.wmf"/><Relationship Id="rId93" Type="http://schemas.openxmlformats.org/officeDocument/2006/relationships/image" Target="media/image47.wmf"/><Relationship Id="rId98" Type="http://schemas.openxmlformats.org/officeDocument/2006/relationships/image" Target="media/image50.wmf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hyperlink" Target="https://upload.wikimedia.org/wikipedia/commons/thumb/1/1c/Types_of_capacitor.svg/800px-Types_of_capacitor.svg.png" TargetMode="External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3.bin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2.wmf"/><Relationship Id="rId62" Type="http://schemas.openxmlformats.org/officeDocument/2006/relationships/image" Target="media/image27.png"/><Relationship Id="rId70" Type="http://schemas.openxmlformats.org/officeDocument/2006/relationships/image" Target="media/image32.png"/><Relationship Id="rId75" Type="http://schemas.openxmlformats.org/officeDocument/2006/relationships/image" Target="media/image35.wmf"/><Relationship Id="rId83" Type="http://schemas.openxmlformats.org/officeDocument/2006/relationships/image" Target="media/image40.png"/><Relationship Id="rId88" Type="http://schemas.openxmlformats.org/officeDocument/2006/relationships/oleObject" Target="embeddings/oleObject31.bin"/><Relationship Id="rId91" Type="http://schemas.openxmlformats.org/officeDocument/2006/relationships/image" Target="media/image46.wmf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oleObject" Target="embeddings/oleObject6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6" Type="http://schemas.openxmlformats.org/officeDocument/2006/relationships/footer" Target="footer3.xml"/><Relationship Id="rId10" Type="http://schemas.openxmlformats.org/officeDocument/2006/relationships/hyperlink" Target="http://math.exeter.edu/rparris/winplot.html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png"/><Relationship Id="rId65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28.bin"/><Relationship Id="rId81" Type="http://schemas.openxmlformats.org/officeDocument/2006/relationships/image" Target="media/image38.png"/><Relationship Id="rId86" Type="http://schemas.openxmlformats.org/officeDocument/2006/relationships/oleObject" Target="embeddings/oleObject30.bin"/><Relationship Id="rId94" Type="http://schemas.openxmlformats.org/officeDocument/2006/relationships/oleObject" Target="embeddings/oleObject33.bin"/><Relationship Id="rId99" Type="http://schemas.openxmlformats.org/officeDocument/2006/relationships/oleObject" Target="embeddings/oleObject35.bin"/><Relationship Id="rId10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1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7.bin"/><Relationship Id="rId97" Type="http://schemas.openxmlformats.org/officeDocument/2006/relationships/oleObject" Target="embeddings/oleObject34.bin"/><Relationship Id="rId10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74B56-15A1-4614-8DF4-415837AE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2999</TotalTime>
  <Pages>11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153</cp:revision>
  <dcterms:created xsi:type="dcterms:W3CDTF">2015-01-07T22:43:00Z</dcterms:created>
  <dcterms:modified xsi:type="dcterms:W3CDTF">2015-02-09T22:58:00Z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