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9820C" w14:textId="09907C23" w:rsidR="00D032FD" w:rsidRDefault="00614011" w:rsidP="000A01DF">
      <w:pPr>
        <w:spacing w:before="240"/>
        <w:rPr>
          <w:rStyle w:val="fontstyle01"/>
          <w:rFonts w:ascii="Arial" w:hAnsi="Arial" w:cs="Arial"/>
          <w:color w:val="auto"/>
        </w:rPr>
      </w:pPr>
      <w:r w:rsidRPr="00A11AA3">
        <w:rPr>
          <w:rStyle w:val="fontstyle01"/>
          <w:rFonts w:ascii="Arial" w:hAnsi="Arial" w:cs="Arial"/>
          <w:color w:val="auto"/>
        </w:rPr>
        <w:t>Erwin Cheng</w:t>
      </w:r>
      <w:r w:rsidRPr="00A11AA3">
        <w:br/>
      </w:r>
      <w:r w:rsidRPr="00A11AA3">
        <w:rPr>
          <w:rStyle w:val="fontstyle01"/>
          <w:rFonts w:ascii="Arial" w:hAnsi="Arial" w:cs="Arial"/>
          <w:color w:val="auto"/>
        </w:rPr>
        <w:t>A0</w:t>
      </w:r>
      <w:r w:rsidR="007A44C1" w:rsidRPr="00A11AA3">
        <w:rPr>
          <w:rStyle w:val="fontstyle01"/>
          <w:rFonts w:ascii="Arial" w:hAnsi="Arial" w:cs="Arial"/>
          <w:color w:val="auto"/>
        </w:rPr>
        <w:t>4</w:t>
      </w:r>
      <w:r w:rsidRPr="00A11AA3">
        <w:rPr>
          <w:rStyle w:val="fontstyle01"/>
          <w:rFonts w:ascii="Arial" w:hAnsi="Arial" w:cs="Arial"/>
          <w:color w:val="auto"/>
        </w:rPr>
        <w:t xml:space="preserve">_ </w:t>
      </w:r>
      <w:r w:rsidR="00A11AA3" w:rsidRPr="00A11AA3">
        <w:rPr>
          <w:rFonts w:ascii="Arial" w:hAnsi="Arial" w:cs="Arial"/>
          <w:sz w:val="24"/>
          <w:szCs w:val="24"/>
        </w:rPr>
        <w:t>In Class Assignment AI-Based Stock News Sentiment Tracker/ Web Crawler</w:t>
      </w:r>
      <w:r w:rsidRPr="00A11AA3">
        <w:rPr>
          <w:rFonts w:ascii="Arial" w:hAnsi="Arial" w:cs="Arial"/>
          <w:b/>
          <w:bCs/>
          <w:sz w:val="24"/>
          <w:szCs w:val="24"/>
        </w:rPr>
        <w:br/>
      </w:r>
      <w:r w:rsidRPr="00A11AA3">
        <w:rPr>
          <w:rStyle w:val="fontstyle01"/>
          <w:rFonts w:ascii="Arial" w:hAnsi="Arial" w:cs="Arial"/>
          <w:color w:val="auto"/>
        </w:rPr>
        <w:t>ITAI 2372 AI Applications</w:t>
      </w:r>
      <w:r w:rsidRPr="00A11AA3">
        <w:rPr>
          <w:rFonts w:ascii="Arial" w:hAnsi="Arial" w:cs="Arial"/>
          <w:sz w:val="24"/>
          <w:szCs w:val="24"/>
        </w:rPr>
        <w:br/>
      </w:r>
      <w:r w:rsidRPr="00A11AA3">
        <w:rPr>
          <w:rStyle w:val="fontstyle01"/>
          <w:rFonts w:ascii="Arial" w:hAnsi="Arial" w:cs="Arial"/>
          <w:color w:val="auto"/>
        </w:rPr>
        <w:t>Anna Rachapudi</w:t>
      </w:r>
    </w:p>
    <w:p w14:paraId="06F7093E" w14:textId="73FDEA98" w:rsidR="000A01DF" w:rsidRPr="00A11AA3" w:rsidRDefault="000A01DF" w:rsidP="00A11AA3">
      <w:pPr>
        <w:rPr>
          <w:rStyle w:val="fontstyle01"/>
          <w:rFonts w:ascii="Arial" w:hAnsi="Arial" w:cs="Arial"/>
          <w:color w:val="auto"/>
        </w:rPr>
      </w:pPr>
      <w:r>
        <w:rPr>
          <w:rStyle w:val="fontstyle01"/>
          <w:rFonts w:ascii="Arial" w:hAnsi="Arial" w:cs="Arial"/>
          <w:color w:val="auto"/>
        </w:rPr>
        <w:t>Using Gemini Gen AI tool</w:t>
      </w:r>
    </w:p>
    <w:p w14:paraId="07A75C4B" w14:textId="77777777" w:rsidR="000A01DF" w:rsidRPr="000A01DF" w:rsidRDefault="000A01DF" w:rsidP="000A0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01DF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0A01DF">
        <w:rPr>
          <w:rFonts w:ascii="Times New Roman" w:eastAsia="Times New Roman" w:hAnsi="Times New Roman" w:cs="Times New Roman"/>
          <w:b/>
          <w:bCs/>
          <w:sz w:val="36"/>
          <w:szCs w:val="36"/>
        </w:rPr>
        <w:t>️ The Tech Stack</w:t>
      </w:r>
    </w:p>
    <w:p w14:paraId="3A8C7064" w14:textId="77777777" w:rsidR="000A01DF" w:rsidRPr="000A01DF" w:rsidRDefault="000A01DF" w:rsidP="000A01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1DF">
        <w:rPr>
          <w:rFonts w:ascii="Times New Roman" w:eastAsia="Times New Roman" w:hAnsi="Times New Roman" w:cs="Times New Roman"/>
          <w:b/>
          <w:bCs/>
          <w:sz w:val="24"/>
          <w:szCs w:val="24"/>
        </w:rPr>
        <w:t>Crawler:</w:t>
      </w:r>
      <w:r w:rsidRPr="000A0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01DF">
        <w:rPr>
          <w:rFonts w:ascii="Courier New" w:eastAsia="Times New Roman" w:hAnsi="Courier New" w:cs="Courier New"/>
          <w:sz w:val="20"/>
          <w:szCs w:val="20"/>
        </w:rPr>
        <w:t>BeautifulSoup</w:t>
      </w:r>
      <w:r w:rsidRPr="000A01D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A01DF">
        <w:rPr>
          <w:rFonts w:ascii="Courier New" w:eastAsia="Times New Roman" w:hAnsi="Courier New" w:cs="Courier New"/>
          <w:sz w:val="20"/>
          <w:szCs w:val="20"/>
        </w:rPr>
        <w:t>Scrapy</w:t>
      </w:r>
      <w:r w:rsidRPr="000A01DF">
        <w:rPr>
          <w:rFonts w:ascii="Times New Roman" w:eastAsia="Times New Roman" w:hAnsi="Times New Roman" w:cs="Times New Roman"/>
          <w:sz w:val="24"/>
          <w:szCs w:val="24"/>
        </w:rPr>
        <w:t xml:space="preserve"> (Python) to target news RSS feeds from Reuters and CNBC.</w:t>
      </w:r>
    </w:p>
    <w:p w14:paraId="38C084EE" w14:textId="77777777" w:rsidR="000A01DF" w:rsidRPr="000A01DF" w:rsidRDefault="000A01DF" w:rsidP="000A01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1DF">
        <w:rPr>
          <w:rFonts w:ascii="Times New Roman" w:eastAsia="Times New Roman" w:hAnsi="Times New Roman" w:cs="Times New Roman"/>
          <w:b/>
          <w:bCs/>
          <w:sz w:val="24"/>
          <w:szCs w:val="24"/>
        </w:rPr>
        <w:t>AI Engine:</w:t>
      </w:r>
      <w:r w:rsidRPr="000A0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01DF">
        <w:rPr>
          <w:rFonts w:ascii="Times New Roman" w:eastAsia="Times New Roman" w:hAnsi="Times New Roman" w:cs="Times New Roman"/>
          <w:b/>
          <w:bCs/>
          <w:sz w:val="24"/>
          <w:szCs w:val="24"/>
        </w:rPr>
        <w:t>Gemini 1.5 Pro</w:t>
      </w:r>
      <w:r w:rsidRPr="000A01D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A01DF">
        <w:rPr>
          <w:rFonts w:ascii="Times New Roman" w:eastAsia="Times New Roman" w:hAnsi="Times New Roman" w:cs="Times New Roman"/>
          <w:b/>
          <w:bCs/>
          <w:sz w:val="24"/>
          <w:szCs w:val="24"/>
        </w:rPr>
        <w:t>GPT-4o</w:t>
      </w:r>
      <w:r w:rsidRPr="000A01DF">
        <w:rPr>
          <w:rFonts w:ascii="Times New Roman" w:eastAsia="Times New Roman" w:hAnsi="Times New Roman" w:cs="Times New Roman"/>
          <w:sz w:val="24"/>
          <w:szCs w:val="24"/>
        </w:rPr>
        <w:t xml:space="preserve"> for high-context sentiment extraction and insight generation.</w:t>
      </w:r>
    </w:p>
    <w:p w14:paraId="4CB88377" w14:textId="77777777" w:rsidR="000A01DF" w:rsidRPr="000A01DF" w:rsidRDefault="000A01DF" w:rsidP="000A01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1DF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 Model:</w:t>
      </w:r>
      <w:r w:rsidRPr="000A01DF">
        <w:rPr>
          <w:rFonts w:ascii="Times New Roman" w:eastAsia="Times New Roman" w:hAnsi="Times New Roman" w:cs="Times New Roman"/>
          <w:sz w:val="24"/>
          <w:szCs w:val="24"/>
        </w:rPr>
        <w:t xml:space="preserve"> FinBERT (a BERT model pre-trained on financial data) for precise "Positive/Negative" scoring.</w:t>
      </w:r>
    </w:p>
    <w:p w14:paraId="5D984060" w14:textId="77777777" w:rsidR="000A01DF" w:rsidRPr="000A01DF" w:rsidRDefault="000A01DF" w:rsidP="000A0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1DF">
        <w:rPr>
          <w:rFonts w:ascii="Times New Roman" w:eastAsia="Times New Roman" w:hAnsi="Times New Roman" w:cs="Times New Roman"/>
          <w:sz w:val="24"/>
          <w:szCs w:val="24"/>
        </w:rPr>
        <w:pict w14:anchorId="0147A309">
          <v:rect id="_x0000_i1109" style="width:0;height:1.5pt" o:hralign="center" o:hrstd="t" o:hr="t" fillcolor="#a0a0a0" stroked="f"/>
        </w:pict>
      </w:r>
    </w:p>
    <w:p w14:paraId="34EA7C0A" w14:textId="77777777" w:rsidR="000A01DF" w:rsidRPr="000A01DF" w:rsidRDefault="000A01DF" w:rsidP="000A0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01DF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0A01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Daily Sentiment Report: Feb 5, 2026</w:t>
      </w:r>
    </w:p>
    <w:p w14:paraId="22A56B51" w14:textId="77777777" w:rsidR="000A01DF" w:rsidRPr="000A01DF" w:rsidRDefault="000A01DF" w:rsidP="000A0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1DF">
        <w:rPr>
          <w:rFonts w:ascii="Times New Roman" w:eastAsia="Times New Roman" w:hAnsi="Times New Roman" w:cs="Times New Roman"/>
          <w:i/>
          <w:iCs/>
          <w:sz w:val="24"/>
          <w:szCs w:val="24"/>
        </w:rPr>
        <w:t>Target Companies: NVDA, AVGO, BRK.A, VOO, VTI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325"/>
        <w:gridCol w:w="1467"/>
        <w:gridCol w:w="5693"/>
      </w:tblGrid>
      <w:tr w:rsidR="000A01DF" w:rsidRPr="000A01DF" w14:paraId="276624BA" w14:textId="77777777" w:rsidTr="000A01D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2DA8B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6D159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Sentiment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A2EC8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 (-1 to +1)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17444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Drivers / Keywords</w:t>
            </w:r>
          </w:p>
        </w:tc>
      </w:tr>
      <w:tr w:rsidR="000A01DF" w:rsidRPr="000A01DF" w14:paraId="4248E2F2" w14:textId="77777777" w:rsidTr="000A01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BCD1D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NVDA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88756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0A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A0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CB1C1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sz w:val="24"/>
                <w:szCs w:val="24"/>
              </w:rPr>
              <w:t>-0.65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C05D8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sz w:val="24"/>
                <w:szCs w:val="24"/>
              </w:rPr>
              <w:t>Repricing, Valuation, AI Cycle, Low support ($170)</w:t>
            </w:r>
          </w:p>
        </w:tc>
      </w:tr>
      <w:tr w:rsidR="000A01DF" w:rsidRPr="000A01DF" w14:paraId="75B39341" w14:textId="77777777" w:rsidTr="000A01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72F97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966E2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Segoe UI Emoji" w:eastAsia="Times New Roman" w:hAnsi="Segoe UI Emoji" w:cs="Segoe UI Emoji"/>
                <w:sz w:val="24"/>
                <w:szCs w:val="24"/>
              </w:rPr>
              <w:t>🟢</w:t>
            </w:r>
            <w:r w:rsidRPr="000A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A0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CBA53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sz w:val="24"/>
                <w:szCs w:val="24"/>
              </w:rPr>
              <w:t>+0.78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4FFBC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sz w:val="24"/>
                <w:szCs w:val="24"/>
              </w:rPr>
              <w:t>Google Capex, Custom TPU, Wi-Fi 8, AI Infrastructure</w:t>
            </w:r>
          </w:p>
        </w:tc>
      </w:tr>
      <w:tr w:rsidR="000A01DF" w:rsidRPr="000A01DF" w14:paraId="0FA94DE0" w14:textId="77777777" w:rsidTr="000A01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51B27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BRK.A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F686D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Segoe UI Emoji" w:eastAsia="Times New Roman" w:hAnsi="Segoe UI Emoji" w:cs="Segoe UI Emoji"/>
                <w:sz w:val="24"/>
                <w:szCs w:val="24"/>
              </w:rPr>
              <w:t>🟡</w:t>
            </w:r>
            <w:r w:rsidRPr="000A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A0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625D1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sz w:val="24"/>
                <w:szCs w:val="24"/>
              </w:rPr>
              <w:t>+0.10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5A575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sz w:val="24"/>
                <w:szCs w:val="24"/>
              </w:rPr>
              <w:t>CEO Transition (Greg Abel), Leadership Succession, Cash Reserves</w:t>
            </w:r>
          </w:p>
        </w:tc>
      </w:tr>
      <w:tr w:rsidR="000A01DF" w:rsidRPr="000A01DF" w14:paraId="0EF9A94E" w14:textId="77777777" w:rsidTr="000A01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D5214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2C2F4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0A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A0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DBD84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sz w:val="24"/>
                <w:szCs w:val="24"/>
              </w:rPr>
              <w:t>-0.42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C579A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sz w:val="24"/>
                <w:szCs w:val="24"/>
              </w:rPr>
              <w:t>MACD Histogram, Tech Weakness, Downside Protection</w:t>
            </w:r>
          </w:p>
        </w:tc>
      </w:tr>
      <w:tr w:rsidR="000A01DF" w:rsidRPr="000A01DF" w14:paraId="406F77DA" w14:textId="77777777" w:rsidTr="000A01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0E0A4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VTI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6BC1C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0A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A0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B516B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sz w:val="24"/>
                <w:szCs w:val="24"/>
              </w:rPr>
              <w:t>-0.38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F4824" w14:textId="77777777" w:rsidR="000A01DF" w:rsidRPr="000A01DF" w:rsidRDefault="000A01DF" w:rsidP="000A01D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1DF">
              <w:rPr>
                <w:rFonts w:ascii="Times New Roman" w:eastAsia="Times New Roman" w:hAnsi="Times New Roman" w:cs="Times New Roman"/>
                <w:sz w:val="24"/>
                <w:szCs w:val="24"/>
              </w:rPr>
              <w:t>Market Concentration, Large-cap Drag, High Interest Rates</w:t>
            </w:r>
          </w:p>
        </w:tc>
      </w:tr>
    </w:tbl>
    <w:p w14:paraId="0F55B9D2" w14:textId="77777777" w:rsidR="000A01DF" w:rsidRPr="000A01DF" w:rsidRDefault="000A01DF" w:rsidP="000A0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1DF">
        <w:rPr>
          <w:rFonts w:ascii="Times New Roman" w:eastAsia="Times New Roman" w:hAnsi="Times New Roman" w:cs="Times New Roman"/>
          <w:sz w:val="24"/>
          <w:szCs w:val="24"/>
        </w:rPr>
        <w:pict w14:anchorId="34464A91">
          <v:rect id="_x0000_i1110" style="width:0;height:1.5pt" o:hralign="center" o:hrstd="t" o:hr="t" fillcolor="#a0a0a0" stroked="f"/>
        </w:pict>
      </w:r>
    </w:p>
    <w:p w14:paraId="66C655AC" w14:textId="77777777" w:rsidR="000A01DF" w:rsidRPr="000A01DF" w:rsidRDefault="000A01DF" w:rsidP="000A0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01DF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0A01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AI-Generated Insights</w:t>
      </w:r>
    </w:p>
    <w:p w14:paraId="61D1A403" w14:textId="77777777" w:rsidR="000A01DF" w:rsidRPr="000A01DF" w:rsidRDefault="000A01DF" w:rsidP="000A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1DF">
        <w:rPr>
          <w:rFonts w:ascii="Times New Roman" w:eastAsia="Times New Roman" w:hAnsi="Times New Roman" w:cs="Times New Roman"/>
          <w:b/>
          <w:bCs/>
          <w:sz w:val="27"/>
          <w:szCs w:val="27"/>
        </w:rPr>
        <w:t>NVIDIA (NVDA)</w:t>
      </w:r>
    </w:p>
    <w:p w14:paraId="428E02F2" w14:textId="77777777" w:rsidR="000A01DF" w:rsidRPr="000A01DF" w:rsidRDefault="000A01DF" w:rsidP="000A01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1DF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0A01DF">
        <w:rPr>
          <w:rFonts w:ascii="Times New Roman" w:eastAsia="Times New Roman" w:hAnsi="Times New Roman" w:cs="Times New Roman"/>
          <w:sz w:val="24"/>
          <w:szCs w:val="24"/>
        </w:rPr>
        <w:t xml:space="preserve"> Sentiment shifted </w:t>
      </w:r>
      <w:r w:rsidRPr="000A01DF">
        <w:rPr>
          <w:rFonts w:ascii="Times New Roman" w:eastAsia="Times New Roman" w:hAnsi="Times New Roman" w:cs="Times New Roman"/>
          <w:b/>
          <w:bCs/>
          <w:sz w:val="24"/>
          <w:szCs w:val="24"/>
        </w:rPr>
        <w:t>Negative</w:t>
      </w:r>
      <w:r w:rsidRPr="000A01DF">
        <w:rPr>
          <w:rFonts w:ascii="Times New Roman" w:eastAsia="Times New Roman" w:hAnsi="Times New Roman" w:cs="Times New Roman"/>
          <w:sz w:val="24"/>
          <w:szCs w:val="24"/>
        </w:rPr>
        <w:t xml:space="preserve"> as the stock hit a year-to-date low of $172. The market is currently "repricing the length of the AI cycle," with investors showing caution despite strong fiscal Q3 revenue of $57B.</w:t>
      </w:r>
    </w:p>
    <w:p w14:paraId="5D13E16B" w14:textId="77777777" w:rsidR="000A01DF" w:rsidRPr="000A01DF" w:rsidRDefault="000A01DF" w:rsidP="000A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1DF">
        <w:rPr>
          <w:rFonts w:ascii="Times New Roman" w:eastAsia="Times New Roman" w:hAnsi="Times New Roman" w:cs="Times New Roman"/>
          <w:b/>
          <w:bCs/>
          <w:sz w:val="27"/>
          <w:szCs w:val="27"/>
        </w:rPr>
        <w:t>Broadcom (AVGO)</w:t>
      </w:r>
    </w:p>
    <w:p w14:paraId="5EBBA81A" w14:textId="77777777" w:rsidR="000A01DF" w:rsidRPr="000A01DF" w:rsidRDefault="000A01DF" w:rsidP="000A01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1DF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0A01DF">
        <w:rPr>
          <w:rFonts w:ascii="Times New Roman" w:eastAsia="Times New Roman" w:hAnsi="Times New Roman" w:cs="Times New Roman"/>
          <w:sz w:val="24"/>
          <w:szCs w:val="24"/>
        </w:rPr>
        <w:t xml:space="preserve"> Sentiment remains </w:t>
      </w:r>
      <w:r w:rsidRPr="000A01DF">
        <w:rPr>
          <w:rFonts w:ascii="Times New Roman" w:eastAsia="Times New Roman" w:hAnsi="Times New Roman" w:cs="Times New Roman"/>
          <w:b/>
          <w:bCs/>
          <w:sz w:val="24"/>
          <w:szCs w:val="24"/>
        </w:rPr>
        <w:t>Strongly Positive</w:t>
      </w:r>
      <w:r w:rsidRPr="000A01DF">
        <w:rPr>
          <w:rFonts w:ascii="Times New Roman" w:eastAsia="Times New Roman" w:hAnsi="Times New Roman" w:cs="Times New Roman"/>
          <w:sz w:val="24"/>
          <w:szCs w:val="24"/>
        </w:rPr>
        <w:t xml:space="preserve"> following Alphabet's (Google) announcement of a $185B capex plan for 2026. As a key partner for Google's custom TPUs, Broadcom is seen as a primary beneficiary of accelerated AI data center spending.</w:t>
      </w:r>
    </w:p>
    <w:p w14:paraId="602CCC4E" w14:textId="77777777" w:rsidR="000A01DF" w:rsidRPr="000A01DF" w:rsidRDefault="000A01DF" w:rsidP="000A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1DF">
        <w:rPr>
          <w:rFonts w:ascii="Times New Roman" w:eastAsia="Times New Roman" w:hAnsi="Times New Roman" w:cs="Times New Roman"/>
          <w:b/>
          <w:bCs/>
          <w:sz w:val="27"/>
          <w:szCs w:val="27"/>
        </w:rPr>
        <w:t>Berkshire Hathaway (BRK.A)</w:t>
      </w:r>
    </w:p>
    <w:p w14:paraId="31A6A487" w14:textId="77777777" w:rsidR="000A01DF" w:rsidRPr="000A01DF" w:rsidRDefault="000A01DF" w:rsidP="000A01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1DF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0A01DF">
        <w:rPr>
          <w:rFonts w:ascii="Times New Roman" w:eastAsia="Times New Roman" w:hAnsi="Times New Roman" w:cs="Times New Roman"/>
          <w:sz w:val="24"/>
          <w:szCs w:val="24"/>
        </w:rPr>
        <w:t xml:space="preserve"> Sentiment is </w:t>
      </w:r>
      <w:r w:rsidRPr="000A01DF">
        <w:rPr>
          <w:rFonts w:ascii="Times New Roman" w:eastAsia="Times New Roman" w:hAnsi="Times New Roman" w:cs="Times New Roman"/>
          <w:b/>
          <w:bCs/>
          <w:sz w:val="24"/>
          <w:szCs w:val="24"/>
        </w:rPr>
        <w:t>Neutral to Slightly Positive</w:t>
      </w:r>
      <w:r w:rsidRPr="000A01DF">
        <w:rPr>
          <w:rFonts w:ascii="Times New Roman" w:eastAsia="Times New Roman" w:hAnsi="Times New Roman" w:cs="Times New Roman"/>
          <w:sz w:val="24"/>
          <w:szCs w:val="24"/>
        </w:rPr>
        <w:t>. The primary narrative is the "End of the Buffett Era" as Greg Abel prepares to take the helm. News of a potential exit from Kraft Heinz suggests a strategic "reset" of the company’s massive cash pile.</w:t>
      </w:r>
    </w:p>
    <w:p w14:paraId="6102A0DD" w14:textId="77777777" w:rsidR="000A01DF" w:rsidRPr="000A01DF" w:rsidRDefault="000A01DF" w:rsidP="000A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1DF">
        <w:rPr>
          <w:rFonts w:ascii="Times New Roman" w:eastAsia="Times New Roman" w:hAnsi="Times New Roman" w:cs="Times New Roman"/>
          <w:b/>
          <w:bCs/>
          <w:sz w:val="27"/>
          <w:szCs w:val="27"/>
        </w:rPr>
        <w:t>ETFs: VOO &amp; VTI</w:t>
      </w:r>
    </w:p>
    <w:p w14:paraId="3CE2259D" w14:textId="77777777" w:rsidR="000A01DF" w:rsidRPr="000A01DF" w:rsidRDefault="000A01DF" w:rsidP="000A01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1DF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0A01DF">
        <w:rPr>
          <w:rFonts w:ascii="Times New Roman" w:eastAsia="Times New Roman" w:hAnsi="Times New Roman" w:cs="Times New Roman"/>
          <w:sz w:val="24"/>
          <w:szCs w:val="24"/>
        </w:rPr>
        <w:t xml:space="preserve"> Both broad-market ETFs are seeing </w:t>
      </w:r>
      <w:r w:rsidRPr="000A01DF">
        <w:rPr>
          <w:rFonts w:ascii="Times New Roman" w:eastAsia="Times New Roman" w:hAnsi="Times New Roman" w:cs="Times New Roman"/>
          <w:b/>
          <w:bCs/>
          <w:sz w:val="24"/>
          <w:szCs w:val="24"/>
        </w:rPr>
        <w:t>Negative</w:t>
      </w:r>
      <w:r w:rsidRPr="000A01DF">
        <w:rPr>
          <w:rFonts w:ascii="Times New Roman" w:eastAsia="Times New Roman" w:hAnsi="Times New Roman" w:cs="Times New Roman"/>
          <w:sz w:val="24"/>
          <w:szCs w:val="24"/>
        </w:rPr>
        <w:t xml:space="preserve"> technical sentiment. VOO's MACD turned bearish on Feb 3rd, and VTI is facing resistance at the $340 level. High concentration in "Mega-cap Tech" is currently a drag as investors rotate into cyclicals or defensive positions.</w:t>
      </w:r>
    </w:p>
    <w:p w14:paraId="318CD034" w14:textId="5D5F9E64" w:rsidR="00A11AA3" w:rsidRPr="00A11AA3" w:rsidRDefault="00A11AA3" w:rsidP="00A11AA3">
      <w:pPr>
        <w:rPr>
          <w:rFonts w:ascii="Arial" w:hAnsi="Arial" w:cs="Arial"/>
          <w:sz w:val="24"/>
          <w:szCs w:val="24"/>
        </w:rPr>
      </w:pPr>
    </w:p>
    <w:p w14:paraId="1501B5AC" w14:textId="441A4D2A" w:rsidR="007A44C1" w:rsidRPr="00A11AA3" w:rsidRDefault="007A44C1" w:rsidP="00A11AA3">
      <w:pPr>
        <w:rPr>
          <w:rFonts w:ascii="Arial" w:eastAsia="Times New Roman" w:hAnsi="Arial" w:cs="Arial"/>
          <w:sz w:val="24"/>
          <w:szCs w:val="24"/>
        </w:rPr>
      </w:pPr>
      <w:r w:rsidRPr="00A11AA3">
        <w:rPr>
          <w:rFonts w:ascii="Arial" w:eastAsia="Times New Roman" w:hAnsi="Arial" w:cs="Arial"/>
          <w:sz w:val="24"/>
          <w:szCs w:val="24"/>
        </w:rPr>
        <w:tab/>
      </w:r>
    </w:p>
    <w:p w14:paraId="1221784D" w14:textId="77777777" w:rsidR="00614011" w:rsidRPr="00A11AA3" w:rsidRDefault="00614011" w:rsidP="00A11AA3">
      <w:pPr>
        <w:rPr>
          <w:rFonts w:ascii="Arial" w:hAnsi="Arial" w:cs="Arial"/>
          <w:sz w:val="24"/>
          <w:szCs w:val="24"/>
        </w:rPr>
      </w:pPr>
    </w:p>
    <w:sectPr w:rsidR="00614011" w:rsidRPr="00A11AA3" w:rsidSect="00E72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1A2A"/>
    <w:multiLevelType w:val="hybridMultilevel"/>
    <w:tmpl w:val="82EAA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B4B0A"/>
    <w:multiLevelType w:val="multilevel"/>
    <w:tmpl w:val="FAA8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42D5F"/>
    <w:multiLevelType w:val="hybridMultilevel"/>
    <w:tmpl w:val="A3FEC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D0BEC"/>
    <w:multiLevelType w:val="hybridMultilevel"/>
    <w:tmpl w:val="FECC7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33736"/>
    <w:multiLevelType w:val="multilevel"/>
    <w:tmpl w:val="C49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6486A"/>
    <w:multiLevelType w:val="multilevel"/>
    <w:tmpl w:val="8B94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D2685"/>
    <w:multiLevelType w:val="hybridMultilevel"/>
    <w:tmpl w:val="F3A6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53903"/>
    <w:multiLevelType w:val="multilevel"/>
    <w:tmpl w:val="DC7E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B652FB"/>
    <w:multiLevelType w:val="multilevel"/>
    <w:tmpl w:val="68AE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10D64"/>
    <w:multiLevelType w:val="hybridMultilevel"/>
    <w:tmpl w:val="AE0A4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71472"/>
    <w:multiLevelType w:val="hybridMultilevel"/>
    <w:tmpl w:val="F7844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96309"/>
    <w:multiLevelType w:val="multilevel"/>
    <w:tmpl w:val="1CF0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11D23"/>
    <w:multiLevelType w:val="hybridMultilevel"/>
    <w:tmpl w:val="E38C2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077933"/>
    <w:multiLevelType w:val="multilevel"/>
    <w:tmpl w:val="BA4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348D0"/>
    <w:multiLevelType w:val="multilevel"/>
    <w:tmpl w:val="401E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C1FE4"/>
    <w:multiLevelType w:val="hybridMultilevel"/>
    <w:tmpl w:val="4C782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2425D"/>
    <w:multiLevelType w:val="hybridMultilevel"/>
    <w:tmpl w:val="46102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4B18A0"/>
    <w:multiLevelType w:val="multilevel"/>
    <w:tmpl w:val="CFAA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0169A"/>
    <w:multiLevelType w:val="multilevel"/>
    <w:tmpl w:val="914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0759A"/>
    <w:multiLevelType w:val="hybridMultilevel"/>
    <w:tmpl w:val="651AF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4D3167"/>
    <w:multiLevelType w:val="multilevel"/>
    <w:tmpl w:val="F9E0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3B61F5"/>
    <w:multiLevelType w:val="multilevel"/>
    <w:tmpl w:val="6068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A079C"/>
    <w:multiLevelType w:val="multilevel"/>
    <w:tmpl w:val="223C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21D6C"/>
    <w:multiLevelType w:val="hybridMultilevel"/>
    <w:tmpl w:val="FF9C9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784D52"/>
    <w:multiLevelType w:val="multilevel"/>
    <w:tmpl w:val="17DE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12D7E"/>
    <w:multiLevelType w:val="multilevel"/>
    <w:tmpl w:val="CE62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6E709B"/>
    <w:multiLevelType w:val="multilevel"/>
    <w:tmpl w:val="554C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36932"/>
    <w:multiLevelType w:val="hybridMultilevel"/>
    <w:tmpl w:val="E6D2A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782336"/>
    <w:multiLevelType w:val="multilevel"/>
    <w:tmpl w:val="039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1463A7"/>
    <w:multiLevelType w:val="multilevel"/>
    <w:tmpl w:val="8C82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60543"/>
    <w:multiLevelType w:val="multilevel"/>
    <w:tmpl w:val="390E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A5EFC"/>
    <w:multiLevelType w:val="hybridMultilevel"/>
    <w:tmpl w:val="81ECC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CA622A"/>
    <w:multiLevelType w:val="multilevel"/>
    <w:tmpl w:val="4C5A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05189"/>
    <w:multiLevelType w:val="hybridMultilevel"/>
    <w:tmpl w:val="96D4B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0"/>
  </w:num>
  <w:num w:numId="3">
    <w:abstractNumId w:val="29"/>
  </w:num>
  <w:num w:numId="4">
    <w:abstractNumId w:val="4"/>
  </w:num>
  <w:num w:numId="5">
    <w:abstractNumId w:val="26"/>
  </w:num>
  <w:num w:numId="6">
    <w:abstractNumId w:val="24"/>
  </w:num>
  <w:num w:numId="7">
    <w:abstractNumId w:val="25"/>
  </w:num>
  <w:num w:numId="8">
    <w:abstractNumId w:val="27"/>
  </w:num>
  <w:num w:numId="9">
    <w:abstractNumId w:val="6"/>
  </w:num>
  <w:num w:numId="10">
    <w:abstractNumId w:val="2"/>
  </w:num>
  <w:num w:numId="11">
    <w:abstractNumId w:val="3"/>
  </w:num>
  <w:num w:numId="12">
    <w:abstractNumId w:val="5"/>
  </w:num>
  <w:num w:numId="13">
    <w:abstractNumId w:val="21"/>
  </w:num>
  <w:num w:numId="14">
    <w:abstractNumId w:val="1"/>
  </w:num>
  <w:num w:numId="15">
    <w:abstractNumId w:val="22"/>
  </w:num>
  <w:num w:numId="16">
    <w:abstractNumId w:val="13"/>
  </w:num>
  <w:num w:numId="17">
    <w:abstractNumId w:val="32"/>
  </w:num>
  <w:num w:numId="18">
    <w:abstractNumId w:val="11"/>
  </w:num>
  <w:num w:numId="19">
    <w:abstractNumId w:val="18"/>
  </w:num>
  <w:num w:numId="20">
    <w:abstractNumId w:val="7"/>
  </w:num>
  <w:num w:numId="21">
    <w:abstractNumId w:val="14"/>
  </w:num>
  <w:num w:numId="22">
    <w:abstractNumId w:val="8"/>
  </w:num>
  <w:num w:numId="23">
    <w:abstractNumId w:val="20"/>
  </w:num>
  <w:num w:numId="24">
    <w:abstractNumId w:val="16"/>
  </w:num>
  <w:num w:numId="25">
    <w:abstractNumId w:val="19"/>
  </w:num>
  <w:num w:numId="26">
    <w:abstractNumId w:val="31"/>
  </w:num>
  <w:num w:numId="27">
    <w:abstractNumId w:val="15"/>
  </w:num>
  <w:num w:numId="28">
    <w:abstractNumId w:val="10"/>
  </w:num>
  <w:num w:numId="29">
    <w:abstractNumId w:val="9"/>
  </w:num>
  <w:num w:numId="30">
    <w:abstractNumId w:val="0"/>
  </w:num>
  <w:num w:numId="31">
    <w:abstractNumId w:val="12"/>
  </w:num>
  <w:num w:numId="32">
    <w:abstractNumId w:val="23"/>
  </w:num>
  <w:num w:numId="33">
    <w:abstractNumId w:val="33"/>
  </w:num>
  <w:num w:numId="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73"/>
    <w:rsid w:val="00025B84"/>
    <w:rsid w:val="000A01DF"/>
    <w:rsid w:val="00430262"/>
    <w:rsid w:val="00614011"/>
    <w:rsid w:val="006E4773"/>
    <w:rsid w:val="007A44C1"/>
    <w:rsid w:val="00A11AA3"/>
    <w:rsid w:val="00A24DB1"/>
    <w:rsid w:val="00D032FD"/>
    <w:rsid w:val="00E7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A190"/>
  <w15:chartTrackingRefBased/>
  <w15:docId w15:val="{E1317B27-7658-41B8-8D97-22054DD20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A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140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40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A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A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14011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614011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140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401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614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40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4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14011"/>
    <w:pPr>
      <w:ind w:left="720"/>
      <w:contextualSpacing/>
    </w:pPr>
  </w:style>
  <w:style w:type="character" w:customStyle="1" w:styleId="citation-147">
    <w:name w:val="citation-147"/>
    <w:basedOn w:val="DefaultParagraphFont"/>
    <w:rsid w:val="007A44C1"/>
  </w:style>
  <w:style w:type="character" w:customStyle="1" w:styleId="citation-146">
    <w:name w:val="citation-146"/>
    <w:basedOn w:val="DefaultParagraphFont"/>
    <w:rsid w:val="007A44C1"/>
  </w:style>
  <w:style w:type="character" w:customStyle="1" w:styleId="citation-145">
    <w:name w:val="citation-145"/>
    <w:basedOn w:val="DefaultParagraphFont"/>
    <w:rsid w:val="007A44C1"/>
  </w:style>
  <w:style w:type="character" w:customStyle="1" w:styleId="citation-144">
    <w:name w:val="citation-144"/>
    <w:basedOn w:val="DefaultParagraphFont"/>
    <w:rsid w:val="007A44C1"/>
  </w:style>
  <w:style w:type="character" w:customStyle="1" w:styleId="citation-143">
    <w:name w:val="citation-143"/>
    <w:basedOn w:val="DefaultParagraphFont"/>
    <w:rsid w:val="007A44C1"/>
  </w:style>
  <w:style w:type="character" w:customStyle="1" w:styleId="citation-142">
    <w:name w:val="citation-142"/>
    <w:basedOn w:val="DefaultParagraphFont"/>
    <w:rsid w:val="007A44C1"/>
  </w:style>
  <w:style w:type="character" w:customStyle="1" w:styleId="citation-141">
    <w:name w:val="citation-141"/>
    <w:basedOn w:val="DefaultParagraphFont"/>
    <w:rsid w:val="007A44C1"/>
  </w:style>
  <w:style w:type="character" w:customStyle="1" w:styleId="citation-140">
    <w:name w:val="citation-140"/>
    <w:basedOn w:val="DefaultParagraphFont"/>
    <w:rsid w:val="007A44C1"/>
  </w:style>
  <w:style w:type="character" w:customStyle="1" w:styleId="citation-139">
    <w:name w:val="citation-139"/>
    <w:basedOn w:val="DefaultParagraphFont"/>
    <w:rsid w:val="007A44C1"/>
  </w:style>
  <w:style w:type="character" w:customStyle="1" w:styleId="citation-138">
    <w:name w:val="citation-138"/>
    <w:basedOn w:val="DefaultParagraphFont"/>
    <w:rsid w:val="007A44C1"/>
  </w:style>
  <w:style w:type="character" w:customStyle="1" w:styleId="citation-137">
    <w:name w:val="citation-137"/>
    <w:basedOn w:val="DefaultParagraphFont"/>
    <w:rsid w:val="007A44C1"/>
  </w:style>
  <w:style w:type="character" w:customStyle="1" w:styleId="citation-136">
    <w:name w:val="citation-136"/>
    <w:basedOn w:val="DefaultParagraphFont"/>
    <w:rsid w:val="007A44C1"/>
  </w:style>
  <w:style w:type="character" w:customStyle="1" w:styleId="citation-135">
    <w:name w:val="citation-135"/>
    <w:basedOn w:val="DefaultParagraphFont"/>
    <w:rsid w:val="007A44C1"/>
  </w:style>
  <w:style w:type="character" w:customStyle="1" w:styleId="citation-134">
    <w:name w:val="citation-134"/>
    <w:basedOn w:val="DefaultParagraphFont"/>
    <w:rsid w:val="007A44C1"/>
  </w:style>
  <w:style w:type="character" w:customStyle="1" w:styleId="citation-133">
    <w:name w:val="citation-133"/>
    <w:basedOn w:val="DefaultParagraphFont"/>
    <w:rsid w:val="007A44C1"/>
  </w:style>
  <w:style w:type="character" w:customStyle="1" w:styleId="citation-132">
    <w:name w:val="citation-132"/>
    <w:basedOn w:val="DefaultParagraphFont"/>
    <w:rsid w:val="007A44C1"/>
  </w:style>
  <w:style w:type="character" w:customStyle="1" w:styleId="citation-131">
    <w:name w:val="citation-131"/>
    <w:basedOn w:val="DefaultParagraphFont"/>
    <w:rsid w:val="007A44C1"/>
  </w:style>
  <w:style w:type="character" w:customStyle="1" w:styleId="citation-130">
    <w:name w:val="citation-130"/>
    <w:basedOn w:val="DefaultParagraphFont"/>
    <w:rsid w:val="007A44C1"/>
  </w:style>
  <w:style w:type="character" w:customStyle="1" w:styleId="Heading1Char">
    <w:name w:val="Heading 1 Char"/>
    <w:basedOn w:val="DefaultParagraphFont"/>
    <w:link w:val="Heading1"/>
    <w:uiPriority w:val="9"/>
    <w:rsid w:val="00A11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AA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AA3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0A01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53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1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3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04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7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</dc:creator>
  <cp:keywords/>
  <dc:description/>
  <cp:lastModifiedBy>Erwin</cp:lastModifiedBy>
  <cp:revision>7</cp:revision>
  <dcterms:created xsi:type="dcterms:W3CDTF">2026-01-19T04:04:00Z</dcterms:created>
  <dcterms:modified xsi:type="dcterms:W3CDTF">2026-02-06T05:57:00Z</dcterms:modified>
</cp:coreProperties>
</file>