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B1A037" w14:textId="77777777" w:rsidR="00684C42" w:rsidRDefault="00684C42" w:rsidP="00684C42">
      <w:r>
        <w:t>thematisiert, dass hier für sie ein guter Ort sei, auch wenn sie mit den Anliegen der anderen nicht immer 100%ig was anfangen könne.</w:t>
      </w:r>
    </w:p>
    <w:p w14:paraId="355C2936" w14:textId="77777777" w:rsidR="00684C42" w:rsidRDefault="00684C42" w:rsidP="00684C42">
      <w:r>
        <w:t>signalisiere ihr, dass es okay ist, hier zu sein und wir sie unterstützen.</w:t>
      </w:r>
    </w:p>
    <w:p w14:paraId="2BA5BE2E" w14:textId="77777777" w:rsidR="00684C42" w:rsidRDefault="00684C42" w:rsidP="00684C42"/>
    <w:p w14:paraId="107DC215" w14:textId="77777777" w:rsidR="00684C42" w:rsidRDefault="00684C42" w:rsidP="00684C42">
      <w:r>
        <w:t>bringt Bilder mit, die sie gezeichnet habe zu unterschiedlichen Dingen, die aktuell Trauer verhinderten.</w:t>
      </w:r>
    </w:p>
    <w:p w14:paraId="438B4B2A" w14:textId="77777777" w:rsidR="00684C42" w:rsidRDefault="00684C42" w:rsidP="00684C42">
      <w:r>
        <w:t>z.B. Wunsch, Tod ungeschehen zu machen, Schuldgefühle, Kontaktaufnahme zur Tochter, Bilder nicht angucken können.</w:t>
      </w:r>
    </w:p>
    <w:p w14:paraId="51CF5230" w14:textId="77777777" w:rsidR="00684C42" w:rsidRDefault="00684C42" w:rsidP="00684C42"/>
    <w:p w14:paraId="1990E3AA" w14:textId="77777777" w:rsidR="00684C42" w:rsidRDefault="00684C42" w:rsidP="00684C42">
      <w:r>
        <w:t>Gegen Ende des Gesprächs Entlastung, da sie bemerkt, dass all das zur Trauer dazu gehört, nicht nur "Traurigkeit" als Gefühl, sondern auch Leere, Schuld, Ärger etc.</w:t>
      </w:r>
    </w:p>
    <w:p w14:paraId="667ABDA2" w14:textId="77777777" w:rsidR="00684C42" w:rsidRDefault="00684C42" w:rsidP="00684C42">
      <w:r>
        <w:t xml:space="preserve">Unbewusst immer wieder Fantasie, dass sie noch nicht da angekommen sei, wo sie eigentlich hinwolle. </w:t>
      </w:r>
    </w:p>
    <w:p w14:paraId="0DC9D7A1" w14:textId="77777777" w:rsidR="00684C42" w:rsidRDefault="00684C42" w:rsidP="00684C42"/>
    <w:p w14:paraId="656C9120" w14:textId="136204EC" w:rsidR="00E340E6" w:rsidRDefault="00684C42" w:rsidP="00684C42">
      <w:r>
        <w:t>Kein Hinweis auf akute Suizidalität.</w:t>
      </w:r>
    </w:p>
    <w:sectPr w:rsidR="00E340E6" w:rsidSect="002C30E1">
      <w:headerReference w:type="default" r:id="rId6"/>
      <w:footerReference w:type="default" r:id="rId7"/>
      <w:headerReference w:type="first" r:id="rId8"/>
      <w:footerReference w:type="first" r:id="rId9"/>
      <w:headerReference w:type="even" r:id="rId10"/>
      <w:footerReference w:type="even" r:id="rId11"/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07D1"/>
    <w:rsid w:val="000807D1"/>
    <w:rsid w:val="002C30E1"/>
    <w:rsid w:val="00360A19"/>
    <w:rsid w:val="004A6523"/>
    <w:rsid w:val="00684C42"/>
    <w:rsid w:val="008257D0"/>
    <w:rsid w:val="00A26A70"/>
    <w:rsid w:val="00E340E6"/>
    <w:rsid w:val="00FE07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4A456C-1CF5-4768-9FC8-8D83CD59D8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807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807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807D1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807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807D1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807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807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807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807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807D1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807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807D1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807D1"/>
    <w:rPr>
      <w:rFonts w:eastAsiaTheme="majorEastAsia" w:cstheme="majorBidi"/>
      <w:i/>
      <w:iCs/>
      <w:color w:val="2E74B5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807D1"/>
    <w:rPr>
      <w:rFonts w:eastAsiaTheme="majorEastAsia" w:cstheme="majorBidi"/>
      <w:color w:val="2E74B5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807D1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807D1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807D1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807D1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807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807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807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807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807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807D1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807D1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807D1"/>
    <w:rPr>
      <w:i/>
      <w:iCs/>
      <w:color w:val="2E74B5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807D1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807D1"/>
    <w:rPr>
      <w:i/>
      <w:iCs/>
      <w:color w:val="2E74B5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807D1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header" Target="header3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109</Words>
  <Characters>624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Carsten Musterweg</dc:creator>
  <cp:keywords/>
  <dc:description/>
  <cp:lastModifiedBy>Carsten Musterweg</cp:lastModifiedBy>
  <cp:revision>2</cp:revision>
  <dcterms:created xsi:type="dcterms:W3CDTF">2026-03-31T11:37:00Z</dcterms:created>
  <dcterms:modified xsi:type="dcterms:W3CDTF">2026-03-31T11:37:00Z</dcterms:modified>
</cp:coreProperties>
</file>