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8C44" w14:textId="77777777" w:rsidR="0030295A" w:rsidRDefault="0030295A">
      <w:pPr>
        <w:spacing w:after="360"/>
        <w:jc w:val="center"/>
        <w:rPr>
          <w:rFonts w:ascii="宋体" w:hAnsi="宋体"/>
          <w:b/>
          <w:sz w:val="28"/>
          <w:lang w:eastAsia="zh-CN"/>
        </w:rPr>
      </w:pPr>
      <w:r>
        <w:rPr>
          <w:rFonts w:ascii="宋体" w:hAnsi="宋体"/>
          <w:b/>
          <w:sz w:val="28"/>
          <w:lang w:eastAsia="zh-CN"/>
        </w:rPr>
        <w:t>第</w:t>
      </w:r>
      <w:r>
        <w:rPr>
          <w:rFonts w:ascii="宋体" w:hAnsi="宋体"/>
          <w:b/>
          <w:sz w:val="28"/>
          <w:lang w:eastAsia="zh-CN"/>
        </w:rPr>
        <w:t>1</w:t>
      </w:r>
      <w:r>
        <w:rPr>
          <w:rFonts w:ascii="宋体" w:hAnsi="宋体"/>
          <w:b/>
          <w:sz w:val="28"/>
          <w:lang w:eastAsia="zh-CN"/>
        </w:rPr>
        <w:t>章</w:t>
      </w:r>
    </w:p>
    <w:p w14:paraId="33F31438" w14:textId="318F257A" w:rsidR="00763B18" w:rsidRDefault="0030295A">
      <w:pPr>
        <w:spacing w:after="360"/>
        <w:jc w:val="center"/>
        <w:rPr>
          <w:lang w:eastAsia="zh-CN"/>
        </w:rPr>
      </w:pPr>
      <w:r>
        <w:rPr>
          <w:rFonts w:ascii="宋体" w:hAnsi="宋体"/>
          <w:b/>
          <w:sz w:val="28"/>
          <w:lang w:eastAsia="zh-CN"/>
        </w:rPr>
        <w:br/>
      </w:r>
      <w:r>
        <w:rPr>
          <w:rFonts w:ascii="宋体" w:hAnsi="宋体"/>
          <w:b/>
          <w:sz w:val="28"/>
          <w:lang w:eastAsia="zh-CN"/>
        </w:rPr>
        <w:t>简介</w:t>
      </w:r>
    </w:p>
    <w:p w14:paraId="0F5B79B8" w14:textId="77777777" w:rsidR="00763B18" w:rsidRDefault="0030295A">
      <w:pPr>
        <w:spacing w:after="240"/>
        <w:rPr>
          <w:lang w:eastAsia="zh-CN"/>
        </w:rPr>
      </w:pPr>
      <w:r>
        <w:rPr>
          <w:rFonts w:ascii="宋体" w:hAnsi="宋体"/>
          <w:b/>
          <w:sz w:val="24"/>
          <w:lang w:eastAsia="zh-CN"/>
        </w:rPr>
        <w:t>第</w:t>
      </w:r>
      <w:r>
        <w:rPr>
          <w:rFonts w:ascii="宋体" w:hAnsi="宋体"/>
          <w:b/>
          <w:sz w:val="24"/>
          <w:lang w:eastAsia="zh-CN"/>
        </w:rPr>
        <w:t>1</w:t>
      </w:r>
      <w:r>
        <w:rPr>
          <w:rFonts w:ascii="宋体" w:hAnsi="宋体"/>
          <w:b/>
          <w:sz w:val="24"/>
          <w:lang w:eastAsia="zh-CN"/>
        </w:rPr>
        <w:t>章</w:t>
      </w:r>
      <w:r>
        <w:rPr>
          <w:rFonts w:ascii="宋体" w:hAnsi="宋体"/>
          <w:b/>
          <w:sz w:val="24"/>
          <w:lang w:eastAsia="zh-CN"/>
        </w:rPr>
        <w:t xml:space="preserve"> – </w:t>
      </w:r>
      <w:r>
        <w:rPr>
          <w:rFonts w:ascii="宋体" w:hAnsi="宋体"/>
          <w:b/>
          <w:sz w:val="24"/>
          <w:lang w:eastAsia="zh-CN"/>
        </w:rPr>
        <w:t>简介</w:t>
      </w:r>
    </w:p>
    <w:p w14:paraId="4359455C" w14:textId="77777777" w:rsidR="00763B18" w:rsidRDefault="0030295A">
      <w:pPr>
        <w:spacing w:after="120"/>
        <w:rPr>
          <w:lang w:eastAsia="zh-CN"/>
        </w:rPr>
      </w:pPr>
      <w:r>
        <w:rPr>
          <w:rFonts w:ascii="宋体" w:hAnsi="宋体"/>
          <w:b/>
          <w:lang w:eastAsia="zh-CN"/>
        </w:rPr>
        <w:t>A.</w:t>
      </w:r>
      <w:r>
        <w:rPr>
          <w:rFonts w:ascii="宋体" w:hAnsi="宋体"/>
          <w:b/>
          <w:lang w:eastAsia="zh-CN"/>
        </w:rPr>
        <w:tab/>
      </w:r>
      <w:r>
        <w:rPr>
          <w:rFonts w:ascii="宋体" w:hAnsi="宋体"/>
          <w:b/>
          <w:lang w:eastAsia="zh-CN"/>
        </w:rPr>
        <w:t>目的</w:t>
      </w:r>
    </w:p>
    <w:p w14:paraId="52C6B921" w14:textId="77777777" w:rsidR="00763B18" w:rsidRDefault="0030295A">
      <w:pPr>
        <w:rPr>
          <w:lang w:eastAsia="zh-CN"/>
        </w:rPr>
      </w:pPr>
      <w:r>
        <w:rPr>
          <w:rFonts w:ascii="宋体" w:hAnsi="宋体"/>
          <w:lang w:eastAsia="zh-CN"/>
        </w:rPr>
        <w:t>美国联邦受托人负责任命和监督常务受托人，并监控和监督《美国法典》第</w:t>
      </w:r>
      <w:r>
        <w:rPr>
          <w:rFonts w:ascii="宋体" w:hAnsi="宋体"/>
          <w:lang w:eastAsia="zh-CN"/>
        </w:rPr>
        <w:t>11</w:t>
      </w:r>
      <w:r>
        <w:rPr>
          <w:rFonts w:ascii="宋体" w:hAnsi="宋体"/>
          <w:lang w:eastAsia="zh-CN"/>
        </w:rPr>
        <w:t>编第</w:t>
      </w:r>
      <w:r>
        <w:rPr>
          <w:rFonts w:ascii="宋体" w:hAnsi="宋体"/>
          <w:lang w:eastAsia="zh-CN"/>
        </w:rPr>
        <w:t>13</w:t>
      </w:r>
      <w:r>
        <w:rPr>
          <w:rFonts w:ascii="宋体" w:hAnsi="宋体"/>
          <w:lang w:eastAsia="zh-CN"/>
        </w:rPr>
        <w:t>章下的案件。</w:t>
      </w:r>
      <w:r>
        <w:rPr>
          <w:rFonts w:ascii="宋体" w:hAnsi="宋体"/>
          <w:lang w:eastAsia="zh-CN"/>
        </w:rPr>
        <w:t>28 U.S.C. § 586(b)</w:t>
      </w:r>
      <w:r>
        <w:rPr>
          <w:rFonts w:ascii="宋体" w:hAnsi="宋体"/>
          <w:lang w:eastAsia="zh-CN"/>
        </w:rPr>
        <w:t>。本手册作为我们在</w:t>
      </w:r>
      <w:r>
        <w:rPr>
          <w:rFonts w:ascii="宋体" w:hAnsi="宋体"/>
          <w:lang w:eastAsia="zh-CN"/>
        </w:rPr>
        <w:t xml:space="preserve"> 28 U.S.C. § 586 </w:t>
      </w:r>
      <w:r>
        <w:rPr>
          <w:rFonts w:ascii="宋体" w:hAnsi="宋体"/>
          <w:lang w:eastAsia="zh-CN"/>
        </w:rPr>
        <w:t>下职责的一部分而发布，旨在确立或澄清美国联邦受托人项目（简称</w:t>
      </w:r>
      <w:r>
        <w:rPr>
          <w:rFonts w:ascii="宋体" w:hAnsi="宋体"/>
          <w:lang w:eastAsia="zh-CN"/>
        </w:rPr>
        <w:t>“</w:t>
      </w:r>
      <w:r>
        <w:rPr>
          <w:rFonts w:ascii="宋体" w:hAnsi="宋体"/>
          <w:lang w:eastAsia="zh-CN"/>
        </w:rPr>
        <w:t>项目</w:t>
      </w:r>
      <w:r>
        <w:rPr>
          <w:rFonts w:ascii="宋体" w:hAnsi="宋体"/>
          <w:lang w:eastAsia="zh-CN"/>
        </w:rPr>
        <w:t>”</w:t>
      </w:r>
      <w:r>
        <w:rPr>
          <w:rFonts w:ascii="宋体" w:hAnsi="宋体"/>
          <w:lang w:eastAsia="zh-CN"/>
        </w:rPr>
        <w:t>）对于常务受托人对债务人、债权人、其他利益相关方以及美国联邦受托人所负职责的立场。本手册并未提供完整和详尽的法律陈述；不应将其作为法律研究和分析的替代品。常务受托人必须熟悉《破产法》、《联邦破产程序规则》（简称</w:t>
      </w:r>
      <w:r>
        <w:rPr>
          <w:rFonts w:ascii="宋体" w:hAnsi="宋体"/>
          <w:lang w:eastAsia="zh-CN"/>
        </w:rPr>
        <w:t>“</w:t>
      </w:r>
      <w:r>
        <w:rPr>
          <w:rFonts w:ascii="宋体" w:hAnsi="宋体"/>
          <w:lang w:eastAsia="zh-CN"/>
        </w:rPr>
        <w:t>规则</w:t>
      </w:r>
      <w:r>
        <w:rPr>
          <w:rFonts w:ascii="宋体" w:hAnsi="宋体"/>
          <w:lang w:eastAsia="zh-CN"/>
        </w:rPr>
        <w:t>”</w:t>
      </w:r>
      <w:r>
        <w:rPr>
          <w:rFonts w:ascii="宋体" w:hAnsi="宋体"/>
          <w:lang w:eastAsia="zh-CN"/>
        </w:rPr>
        <w:t>）、任何地方法院破产规则以及判例法的相关规定。</w:t>
      </w:r>
      <w:r>
        <w:rPr>
          <w:rFonts w:ascii="宋体" w:hAnsi="宋体"/>
          <w:lang w:eastAsia="zh-CN"/>
        </w:rPr>
        <w:t>11 U.S.C. § 321, 28 U.S.C. § 586, 28 C.F.R. § 58.6(a)(3)</w:t>
      </w:r>
      <w:r>
        <w:rPr>
          <w:rFonts w:ascii="宋体" w:hAnsi="宋体"/>
          <w:lang w:eastAsia="zh-CN"/>
        </w:rPr>
        <w:t>。我们鼓励常务受托人遵循本手册中指出的实务提示，但这些提示不被视为强</w:t>
      </w:r>
      <w:r>
        <w:rPr>
          <w:rFonts w:ascii="宋体" w:hAnsi="宋体"/>
          <w:lang w:eastAsia="zh-CN"/>
        </w:rPr>
        <w:t>制性要求。</w:t>
      </w:r>
    </w:p>
    <w:p w14:paraId="2CB9179B" w14:textId="77777777" w:rsidR="00763B18" w:rsidRDefault="00763B18">
      <w:pPr>
        <w:spacing w:after="240"/>
        <w:rPr>
          <w:lang w:eastAsia="zh-CN"/>
        </w:rPr>
      </w:pPr>
    </w:p>
    <w:p w14:paraId="53CB6F5F" w14:textId="77777777" w:rsidR="00763B18" w:rsidRDefault="0030295A">
      <w:pPr>
        <w:rPr>
          <w:lang w:eastAsia="zh-CN"/>
        </w:rPr>
      </w:pPr>
      <w:r>
        <w:rPr>
          <w:rFonts w:ascii="宋体" w:hAnsi="宋体"/>
          <w:lang w:eastAsia="zh-CN"/>
        </w:rPr>
        <w:t>本手册中的任何内容均不得解释为免除常务受托人遵守《破产法》及《规则》、地方法规以及法院命令所规定的所有职责。当本手册的规定与地方法规或法院命令发生冲突时，常务受托人应通知美国联邦受托人。常务受托人对本手册中规定的所有职责负责，但除非另有说明，否则无需亲自履行任何职责。除非另有说明，本手册中的所有法定引用均指《破产法》（</w:t>
      </w:r>
      <w:r>
        <w:rPr>
          <w:rFonts w:ascii="宋体" w:hAnsi="宋体"/>
          <w:lang w:eastAsia="zh-CN"/>
        </w:rPr>
        <w:t xml:space="preserve">11 U.S.C. § 101 </w:t>
      </w:r>
      <w:r>
        <w:rPr>
          <w:rFonts w:ascii="宋体" w:hAnsi="宋体"/>
          <w:lang w:eastAsia="zh-CN"/>
        </w:rPr>
        <w:t>及后续条款）。</w:t>
      </w:r>
    </w:p>
    <w:p w14:paraId="3E7C7617" w14:textId="77777777" w:rsidR="00763B18" w:rsidRDefault="00763B18">
      <w:pPr>
        <w:spacing w:after="240"/>
        <w:rPr>
          <w:lang w:eastAsia="zh-CN"/>
        </w:rPr>
      </w:pPr>
    </w:p>
    <w:p w14:paraId="47CB1D62" w14:textId="77777777" w:rsidR="00763B18" w:rsidRDefault="0030295A">
      <w:pPr>
        <w:rPr>
          <w:lang w:eastAsia="zh-CN"/>
        </w:rPr>
      </w:pPr>
      <w:r>
        <w:rPr>
          <w:rFonts w:ascii="宋体" w:hAnsi="宋体"/>
          <w:lang w:eastAsia="zh-CN"/>
        </w:rPr>
        <w:t>本手册不为其他方创设针对常务受托人或美国联邦受托人的额外权利。</w:t>
      </w:r>
    </w:p>
    <w:p w14:paraId="563307F3" w14:textId="77777777" w:rsidR="00763B18" w:rsidRDefault="00763B18">
      <w:pPr>
        <w:spacing w:after="480"/>
        <w:rPr>
          <w:lang w:eastAsia="zh-CN"/>
        </w:rPr>
      </w:pPr>
    </w:p>
    <w:p w14:paraId="7EC4DCD3" w14:textId="77777777" w:rsidR="00763B18" w:rsidRDefault="0030295A">
      <w:pPr>
        <w:spacing w:after="240"/>
        <w:rPr>
          <w:lang w:eastAsia="zh-CN"/>
        </w:rPr>
      </w:pPr>
      <w:r>
        <w:rPr>
          <w:rFonts w:ascii="宋体" w:hAnsi="宋体"/>
          <w:b/>
          <w:lang w:eastAsia="zh-CN"/>
        </w:rPr>
        <w:t>B.</w:t>
      </w:r>
      <w:r>
        <w:rPr>
          <w:rFonts w:ascii="宋体" w:hAnsi="宋体"/>
          <w:b/>
          <w:lang w:eastAsia="zh-CN"/>
        </w:rPr>
        <w:tab/>
      </w:r>
      <w:r>
        <w:rPr>
          <w:rFonts w:ascii="宋体" w:hAnsi="宋体"/>
          <w:b/>
          <w:lang w:eastAsia="zh-CN"/>
        </w:rPr>
        <w:t>美国联邦受托人的角色</w:t>
      </w:r>
    </w:p>
    <w:p w14:paraId="61588BE7" w14:textId="77777777" w:rsidR="00763B18" w:rsidRDefault="0030295A">
      <w:pPr>
        <w:rPr>
          <w:lang w:eastAsia="zh-CN"/>
        </w:rPr>
      </w:pPr>
      <w:r>
        <w:rPr>
          <w:rFonts w:ascii="宋体" w:hAnsi="宋体"/>
          <w:lang w:eastAsia="zh-CN"/>
        </w:rPr>
        <w:lastRenderedPageBreak/>
        <w:t>1978</w:t>
      </w:r>
      <w:r>
        <w:rPr>
          <w:rFonts w:ascii="宋体" w:hAnsi="宋体"/>
          <w:lang w:eastAsia="zh-CN"/>
        </w:rPr>
        <w:t>年的《破产改革法案》免除了</w:t>
      </w:r>
      <w:r>
        <w:rPr>
          <w:rFonts w:ascii="宋体" w:hAnsi="宋体"/>
          <w:lang w:eastAsia="zh-CN"/>
        </w:rPr>
        <w:t>破产法官对案件日常管理的责任。债务人、债权人以及与受托人存在利益冲突的第三方曾担心，由于法院之前负责任命并监督受托人，可能无法公正地裁决他们作为该受托人对手的权利。为了解决这些担忧，破产系统内的司法和行政职能被分离开来。</w:t>
      </w:r>
    </w:p>
    <w:p w14:paraId="1CFC037F" w14:textId="77777777" w:rsidR="00763B18" w:rsidRDefault="00763B18">
      <w:pPr>
        <w:spacing w:after="240"/>
        <w:rPr>
          <w:lang w:eastAsia="zh-CN"/>
        </w:rPr>
      </w:pPr>
    </w:p>
    <w:p w14:paraId="0B1EEC2B" w14:textId="77777777" w:rsidR="00763B18" w:rsidRDefault="0030295A">
      <w:pPr>
        <w:rPr>
          <w:lang w:eastAsia="zh-CN"/>
        </w:rPr>
      </w:pPr>
      <w:r>
        <w:rPr>
          <w:rFonts w:ascii="宋体" w:hAnsi="宋体"/>
          <w:lang w:eastAsia="zh-CN"/>
        </w:rPr>
        <w:t>通过设立该项目，许多以前由法院履行的行政职能被归入司法部。分配给美国联邦受托人的行政职能中包括第</w:t>
      </w:r>
      <w:r>
        <w:rPr>
          <w:rFonts w:ascii="宋体" w:hAnsi="宋体"/>
          <w:lang w:eastAsia="zh-CN"/>
        </w:rPr>
        <w:t>13</w:t>
      </w:r>
      <w:r>
        <w:rPr>
          <w:rFonts w:ascii="宋体" w:hAnsi="宋体"/>
          <w:lang w:eastAsia="zh-CN"/>
        </w:rPr>
        <w:t>章受托人的任命和监督。</w:t>
      </w:r>
      <w:r>
        <w:rPr>
          <w:rFonts w:ascii="宋体" w:hAnsi="宋体"/>
          <w:lang w:eastAsia="zh-CN"/>
        </w:rPr>
        <w:t xml:space="preserve">/ </w:t>
      </w:r>
      <w:r>
        <w:rPr>
          <w:rFonts w:ascii="宋体" w:hAnsi="宋体"/>
          <w:lang w:eastAsia="zh-CN"/>
        </w:rPr>
        <w:t>本手册是根据该项目授权法案的授权发布的。</w:t>
      </w:r>
    </w:p>
    <w:p w14:paraId="3C56D69C" w14:textId="77777777" w:rsidR="00763B18" w:rsidRDefault="00763B18">
      <w:pPr>
        <w:spacing w:after="480"/>
        <w:rPr>
          <w:lang w:eastAsia="zh-CN"/>
        </w:rPr>
      </w:pPr>
    </w:p>
    <w:p w14:paraId="6A73DFDB" w14:textId="77777777" w:rsidR="00763B18" w:rsidRDefault="0030295A">
      <w:pPr>
        <w:spacing w:after="240"/>
        <w:rPr>
          <w:lang w:eastAsia="zh-CN"/>
        </w:rPr>
      </w:pPr>
      <w:r>
        <w:rPr>
          <w:rFonts w:ascii="宋体" w:hAnsi="宋体"/>
          <w:b/>
          <w:lang w:eastAsia="zh-CN"/>
        </w:rPr>
        <w:t>C.</w:t>
      </w:r>
      <w:r>
        <w:rPr>
          <w:rFonts w:ascii="宋体" w:hAnsi="宋体"/>
          <w:b/>
          <w:lang w:eastAsia="zh-CN"/>
        </w:rPr>
        <w:tab/>
      </w:r>
      <w:r>
        <w:rPr>
          <w:rFonts w:ascii="宋体" w:hAnsi="宋体"/>
          <w:b/>
          <w:lang w:eastAsia="zh-CN"/>
        </w:rPr>
        <w:t>常务受托人的法定职责</w:t>
      </w:r>
    </w:p>
    <w:p w14:paraId="7A5FD5CF" w14:textId="77777777" w:rsidR="00763B18" w:rsidRDefault="0030295A">
      <w:pPr>
        <w:rPr>
          <w:lang w:eastAsia="zh-CN"/>
        </w:rPr>
      </w:pPr>
      <w:r>
        <w:rPr>
          <w:rFonts w:ascii="宋体" w:hAnsi="宋体"/>
          <w:lang w:eastAsia="zh-CN"/>
        </w:rPr>
        <w:t>常务受托人对破产财产负有受托责任。常务受托人不仅仅是一个简单的付款代理人。常务受托人必须亲</w:t>
      </w:r>
      <w:r>
        <w:rPr>
          <w:rFonts w:ascii="宋体" w:hAnsi="宋体"/>
          <w:lang w:eastAsia="zh-CN"/>
        </w:rPr>
        <w:t>自参与受托人的运营。如果常务受托人现在或将来无法履行常务受托人的职责和责任，其必须立即通知美国联邦受托人。</w:t>
      </w:r>
      <w:r>
        <w:rPr>
          <w:rFonts w:ascii="宋体" w:hAnsi="宋体"/>
          <w:lang w:eastAsia="zh-CN"/>
        </w:rPr>
        <w:t xml:space="preserve">28 U.S.C. § 586(b), 28 C.F.R. § 58.4(b) </w:t>
      </w:r>
      <w:r>
        <w:rPr>
          <w:rFonts w:ascii="宋体" w:hAnsi="宋体"/>
          <w:lang w:eastAsia="zh-CN"/>
        </w:rPr>
        <w:t>引用</w:t>
      </w:r>
      <w:r>
        <w:rPr>
          <w:rFonts w:ascii="宋体" w:hAnsi="宋体"/>
          <w:lang w:eastAsia="zh-CN"/>
        </w:rPr>
        <w:t xml:space="preserve"> 28 C.F.R. § 58.3(b)</w:t>
      </w:r>
      <w:r>
        <w:rPr>
          <w:rFonts w:ascii="宋体" w:hAnsi="宋体"/>
          <w:lang w:eastAsia="zh-CN"/>
        </w:rPr>
        <w:t>。</w:t>
      </w:r>
    </w:p>
    <w:p w14:paraId="499A4CB3" w14:textId="77777777" w:rsidR="00763B18" w:rsidRDefault="00763B18">
      <w:pPr>
        <w:spacing w:after="240"/>
        <w:rPr>
          <w:lang w:eastAsia="zh-CN"/>
        </w:rPr>
      </w:pPr>
    </w:p>
    <w:p w14:paraId="3F7D5B73" w14:textId="77777777" w:rsidR="00763B18" w:rsidRDefault="0030295A">
      <w:r>
        <w:rPr>
          <w:rFonts w:ascii="宋体" w:hAnsi="宋体"/>
          <w:lang w:eastAsia="zh-CN"/>
        </w:rPr>
        <w:t>尽管本手册并非旨在作为完整的法定参考，常务受托人的主要法定职责已在</w:t>
      </w:r>
      <w:r>
        <w:rPr>
          <w:rFonts w:ascii="宋体" w:hAnsi="宋体"/>
          <w:lang w:eastAsia="zh-CN"/>
        </w:rPr>
        <w:t xml:space="preserve"> 11 U.S.C. § 1302 </w:t>
      </w:r>
      <w:r>
        <w:rPr>
          <w:rFonts w:ascii="宋体" w:hAnsi="宋体"/>
          <w:lang w:eastAsia="zh-CN"/>
        </w:rPr>
        <w:t>中列明，其中通过引用包含了</w:t>
      </w:r>
      <w:r>
        <w:rPr>
          <w:rFonts w:ascii="宋体" w:hAnsi="宋体"/>
          <w:lang w:eastAsia="zh-CN"/>
        </w:rPr>
        <w:t xml:space="preserve"> 11 U.S.C. § 704 </w:t>
      </w:r>
      <w:r>
        <w:rPr>
          <w:rFonts w:ascii="宋体" w:hAnsi="宋体"/>
          <w:lang w:eastAsia="zh-CN"/>
        </w:rPr>
        <w:t>中规定的第</w:t>
      </w:r>
      <w:r>
        <w:rPr>
          <w:rFonts w:ascii="宋体" w:hAnsi="宋体"/>
          <w:lang w:eastAsia="zh-CN"/>
        </w:rPr>
        <w:t>7</w:t>
      </w:r>
      <w:r>
        <w:rPr>
          <w:rFonts w:ascii="宋体" w:hAnsi="宋体"/>
          <w:lang w:eastAsia="zh-CN"/>
        </w:rPr>
        <w:t>章受托人的部分职责。</w:t>
      </w:r>
      <w:r>
        <w:rPr>
          <w:rFonts w:ascii="宋体" w:hAnsi="宋体"/>
        </w:rPr>
        <w:t>这些职责包括但不限于以下内容：</w:t>
      </w:r>
    </w:p>
    <w:sectPr w:rsidR="00763B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1690782">
    <w:abstractNumId w:val="8"/>
  </w:num>
  <w:num w:numId="2" w16cid:durableId="2143842677">
    <w:abstractNumId w:val="6"/>
  </w:num>
  <w:num w:numId="3" w16cid:durableId="1294140805">
    <w:abstractNumId w:val="5"/>
  </w:num>
  <w:num w:numId="4" w16cid:durableId="696003120">
    <w:abstractNumId w:val="4"/>
  </w:num>
  <w:num w:numId="5" w16cid:durableId="1872299762">
    <w:abstractNumId w:val="7"/>
  </w:num>
  <w:num w:numId="6" w16cid:durableId="696740289">
    <w:abstractNumId w:val="3"/>
  </w:num>
  <w:num w:numId="7" w16cid:durableId="1092123448">
    <w:abstractNumId w:val="2"/>
  </w:num>
  <w:num w:numId="8" w16cid:durableId="1215000372">
    <w:abstractNumId w:val="1"/>
  </w:num>
  <w:num w:numId="9" w16cid:durableId="99499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95A"/>
    <w:rsid w:val="00326F90"/>
    <w:rsid w:val="00763B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3E10"/>
  <w14:defaultImageDpi w14:val="300"/>
  <w15:docId w15:val="{998088DF-C7BB-4C43-8C00-609B7D93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卫健 陈</cp:lastModifiedBy>
  <cp:revision>2</cp:revision>
  <dcterms:created xsi:type="dcterms:W3CDTF">2013-12-23T23:15:00Z</dcterms:created>
  <dcterms:modified xsi:type="dcterms:W3CDTF">2026-07-01T17:09:00Z</dcterms:modified>
  <cp:category/>
</cp:coreProperties>
</file>