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cleaning sample</w:t>
      </w:r>
    </w:p>
    <w:p>
      <w:pPr>
        <w:pStyle w:val="Heading1"/>
      </w:pPr>
      <w:r>
        <w:t>1. Overview</w:t>
      </w:r>
    </w:p>
    <w:p>
      <w:r>
        <w:t xml:space="preserve">This document contains fictional information for a document cleaning example. Sample A has twelve units and Sample B has eight units. Keep the source file and section when splitting content into chunks. This document contains fictional information for a document cleaning example. Sample A has twelve units and Sample B has eight units. Keep the source file and section when splitting content into chunks. This document contains fictional information for a document cleaning example. Sample A has twelve units and Sample B has eight units. Keep the source file and section when splitting content into chunks. </w:t>
      </w:r>
    </w:p>
    <w:p>
      <w:pPr>
        <w:pStyle w:val="Heading1"/>
      </w:pPr>
      <w:r>
        <w:t>2.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Sample A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Fictional data</w:t>
            </w:r>
          </w:p>
        </w:tc>
      </w:tr>
      <w:tr>
        <w:tc>
          <w:tcPr>
            <w:tcW w:type="dxa" w:w="2880"/>
          </w:tcPr>
          <w:p>
            <w:r>
              <w:t>Sample B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For parser demonstration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