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173812" w14:textId="145C1B8C">
      <w:pPr>
        <w:pStyle w:val="734"/>
        <w:pBdr/>
        <w:spacing w:after="322" w:afterAutospacing="0" w:before="322" w:beforeAutospacing="0"/>
        <w:ind/>
        <w:rPr/>
      </w:pPr>
      <w:r>
        <w:rPr>
          <w:rFonts w:ascii="Calibri" w:hAnsi="Calibri" w:eastAsia="Calibri" w:cs="Calibri"/>
          <w:b/>
          <w:bCs/>
          <w:sz w:val="48"/>
          <w:szCs w:val="48"/>
          <w:lang w:val="en-US"/>
        </w:rPr>
        <w:t xml:space="preserve">FE to PE Release Checklist</w:t>
      </w:r>
      <w:r/>
    </w:p>
    <w:p w14:paraId="6F989D0E" w14:textId="3F57CA94">
      <w:pPr>
        <w:pBdr/>
        <w:spacing w:after="240" w:afterAutospacing="0" w:before="240" w:beforeAutospacing="0"/>
        <w:ind/>
        <w:rPr/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This checklist ensures all Fabrication Engineering (FE) deliverables are compliant with company standards before handoff to Production Engineering (PE). Complete these steps to ensure a high-quality handoff and minimize fabrication delays. </w:t>
      </w:r>
      <w:r/>
    </w:p>
    <w:p w14:paraId="4980A547" w14:textId="59B8E11F">
      <w:pPr>
        <w:pBdr/>
        <w:spacing w:after="240" w:afterAutospacing="0" w:before="240" w:beforeAutospacing="0"/>
        <w:ind/>
        <w:rPr/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By marking ‘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Released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’ in Epicor and completing the FE -&gt; PE Release Form in the dedicated channel, you certify that your deliverables are conformant to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all of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the following requirements:</w:t>
      </w:r>
      <w:r/>
    </w:p>
    <w:p w14:paraId="26BB0813" w14:textId="1B81F11D">
      <w:pPr>
        <w:pStyle w:val="735"/>
        <w:numPr>
          <w:ilvl w:val="0"/>
          <w:numId w:val="2"/>
        </w:numPr>
        <w:pBdr/>
        <w:spacing w:after="299" w:afterAutospacing="0" w:before="299" w:beforeAutospacing="0"/>
        <w:ind/>
        <w:rPr>
          <w:rFonts w:ascii="Calibri" w:hAnsi="Calibri" w:eastAsia="Calibri" w:cs="Calibri"/>
          <w:b/>
          <w:bCs/>
          <w:sz w:val="36"/>
          <w:szCs w:val="36"/>
          <w:lang w:val="en-US"/>
        </w:rPr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 xml:space="preserve">Approval Prerequisite</w:t>
      </w:r>
      <w:r>
        <w:rPr>
          <w:rFonts w:ascii="Calibri" w:hAnsi="Calibri" w:eastAsia="Calibri" w:cs="Calibri"/>
          <w:b/>
          <w:bCs/>
          <w:sz w:val="36"/>
          <w:szCs w:val="36"/>
          <w:lang w:val="en-US"/>
        </w:rPr>
      </w:r>
    </w:p>
    <w:p w14:paraId="29846288" w14:textId="0A5D76DF">
      <w:pPr>
        <w:pStyle w:val="736"/>
        <w:numPr>
          <w:ilvl w:val="0"/>
          <w:numId w:val="1"/>
        </w:numPr>
        <w:suppressLineNumbers w:val="false"/>
        <w:pBdr/>
        <w:bidi w:val="false"/>
        <w:spacing w:after="0" w:afterAutospacing="0" w:before="0" w:beforeAutospacing="0" w:line="259" w:lineRule="auto"/>
        <w:ind w:right="0" w:hanging="360" w:left="720"/>
        <w:jc w:val="left"/>
        <w:rPr>
          <w:lang w:val="en-US"/>
        </w:rPr>
      </w:pPr>
      <w:r>
        <w:rPr>
          <w:lang w:val="en-US"/>
        </w:rPr>
        <w:t xml:space="preserve">Confirm that the job has been fully approved by all necessary parties.</w:t>
      </w:r>
      <w:r>
        <w:rPr>
          <w:lang w:val="en-US"/>
        </w:rPr>
      </w:r>
    </w:p>
    <w:p w14:paraId="10DAC6F8" w14:textId="78D41295">
      <w:pPr>
        <w:pStyle w:val="736"/>
        <w:numPr>
          <w:ilvl w:val="1"/>
          <w:numId w:val="1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Build Strategy</w:t>
      </w:r>
      <w:r>
        <w:rPr>
          <w:lang w:val="en-US"/>
        </w:rPr>
        <w:t xml:space="preserve">: Project Advisor has reviewed and approved. “PA Approved” is checked in Epicor</w:t>
      </w:r>
      <w:r>
        <w:rPr>
          <w:lang w:val="en-US"/>
        </w:rPr>
      </w:r>
    </w:p>
    <w:p w14:paraId="6540F375" w14:textId="54AE1B41">
      <w:pPr>
        <w:pStyle w:val="736"/>
        <w:numPr>
          <w:ilvl w:val="1"/>
          <w:numId w:val="1"/>
        </w:num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Client Review: </w:t>
      </w:r>
      <w:r>
        <w:rPr>
          <w:b w:val="0"/>
          <w:bCs w:val="0"/>
          <w:lang w:val="en-US"/>
        </w:rPr>
        <w:t xml:space="preserve">Client has reviewed submittal (drawings, models, mockups, samples) and approved. “Submittal Status” is set to Approved in Epicor. “Submitted Date” gives the date of last submittal / resubmittal.</w:t>
      </w:r>
      <w:r>
        <w:rPr>
          <w:b/>
          <w:bCs/>
          <w:lang w:val="en-US"/>
        </w:rPr>
      </w:r>
    </w:p>
    <w:p w14:paraId="28A2703A" w14:textId="05213B09">
      <w:pPr>
        <w:pStyle w:val="735"/>
        <w:pBdr/>
        <w:spacing w:after="299" w:afterAutospacing="0" w:before="299" w:beforeAutospacing="0"/>
        <w:ind/>
        <w:rPr/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 xml:space="preserve">1. Rhino Model Geometry &amp; Hygiene</w:t>
      </w:r>
      <w:r/>
    </w:p>
    <w:p w14:paraId="03DE7087" w14:textId="35DCF5FF">
      <w:pPr>
        <w:pStyle w:val="736"/>
        <w:numPr>
          <w:ilvl w:val="0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Run Cleanup: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Execute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Purge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to remove unused blocks/layers/styles and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SelDup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to delete duplicate geometry.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D409DD0" w14:textId="26BE376B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 layouts and corresponding layers / blocks present.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E8137C2" w14:textId="3BA61583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 empty layers present.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1C2B358C" w14:textId="5EE64977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 nested “assembly” blocks present.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20C8EFF3" w14:textId="6F57DCC4">
      <w:pPr>
        <w:pStyle w:val="736"/>
        <w:numPr>
          <w:ilvl w:val="0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Object Integrity: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Confirm no "Bad Objects" (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SelBadObjects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), no "Open Polysurfaces" (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SelOpenPolysrf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), and no "Extrusions" (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SelExtrusion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343E36B" w14:textId="032E477D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Fix: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Use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ConvertExtrusion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to change extrusions to polysurfaces.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44A9314" w14:textId="1245D26B">
      <w:pPr>
        <w:pStyle w:val="736"/>
        <w:numPr>
          <w:ilvl w:val="0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Part Name Uniqueness Audit: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Ensure no unlike geometries share the same part name.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B4A9575" w14:textId="5C1F855A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Step-Through Audit: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Use the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SelName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command to select objects by name. Step through the list to verify that each unique name refers only to identical parts (or a single part).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13CBDA31" w14:textId="1004AD0A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Naming Conflicts: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If unlike geometries share a name, differentiate them by selecting the next unused P### number in series for the shipping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component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(2x P005 becomes P005 and P011).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BC96FD1" w14:textId="5304A4DC">
      <w:pPr>
        <w:pStyle w:val="736"/>
        <w:numPr>
          <w:ilvl w:val="0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Naming Conventions: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Verify all names match standard conventions for database compatibility.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2A82650" w14:textId="465FB3C5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File Name (Release):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###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#.#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#_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PE_YYYYMMDD.3dm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(e.g.,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1234.567_PE_20240512.3dm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3BBD88A" w14:textId="444BC011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Polysurfaces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###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#.#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##.SC##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#.P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###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(e.g.,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1234.567.SC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001.P001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or for MFG parts: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1234.MT.00567.P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002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19D83129" w14:textId="1D2566BB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Block Definitions: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F972C82" w14:textId="4A3D95B2">
      <w:pPr>
        <w:pStyle w:val="736"/>
        <w:numPr>
          <w:ilvl w:val="2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Hardware (Embedded):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Must start with a bracketed hardware tag (e.g.,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&lt;GM.HW.12345&gt; Description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1B68592" w14:textId="3FB7783F">
      <w:pPr>
        <w:pStyle w:val="736"/>
        <w:numPr>
          <w:ilvl w:val="2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Manufactured (Linked):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Must follow the MFG parts format (e.g.,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&lt;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1234.MT.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00567&gt;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Description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)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F2E7314" w14:textId="18FEA80A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Note: All names that include a description must align with corresponding Epicor description field.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36366BE" w14:textId="1B6084F6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Note: Catalog items may begin with a 2 character account code rather than project number.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DB43C07" w14:textId="175F5277">
      <w:pPr>
        <w:pStyle w:val="736"/>
        <w:numPr>
          <w:ilvl w:val="0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Metadata (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UserText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):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Ensure all standard Document and Object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UserText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keys (thickness, volume, project ID, etc) are populated via the Engineering Toolkit.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9278A70" w14:textId="1A9701EF">
      <w:pPr>
        <w:pStyle w:val="736"/>
        <w:numPr>
          <w:ilvl w:val="0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Material Thickness: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Verify that modeled thicknesses match physical materials within company standard tolerances. Contact Production Manager to confirm stock-on-hand thicknesses for each project.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372BB78" w14:textId="48129178">
      <w:pPr>
        <w:pStyle w:val="736"/>
        <w:numPr>
          <w:ilvl w:val="1"/>
          <w:numId w:val="9"/>
        </w:numPr>
        <w:suppressLineNumbers w:val="false"/>
        <w:pBdr/>
        <w:bidi w:val="false"/>
        <w:spacing w:after="240" w:afterAutospacing="0" w:before="240" w:beforeAutospacing="0" w:line="259" w:lineRule="auto"/>
        <w:ind w:right="0" w:hanging="360" w:left="144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Commonly used materials should have thicknesses recorded in Epicor part attributes for reference.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883F49D" w14:textId="71447EE1">
      <w:pPr>
        <w:pStyle w:val="736"/>
        <w:numPr>
          <w:ilvl w:val="2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Non-finish grade plywood (“shop ply”) is typically undersized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relative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to nominal thickness. FE should model undersized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in accordance with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historical trends. (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e.g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model 0.75” nominal shop ply at 0.72”)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3869497" w14:textId="75C3E513">
      <w:pPr>
        <w:pStyle w:val="736"/>
        <w:numPr>
          <w:ilvl w:val="2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Dimensionally stable materials (MDO, MDF) and custom sheet goods (Pre-lam veneered layups,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etc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 are typically within expected tolerance, and should be modeled at nominal thickness.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975E3F8" w14:textId="71B7C398">
      <w:pPr>
        <w:pStyle w:val="736"/>
        <w:numPr>
          <w:ilvl w:val="1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Any uncommon or specialty sheet good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is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required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to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be checked with a micrometer.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8D25B44" w14:textId="56F9C321">
      <w:pPr>
        <w:pStyle w:val="736"/>
        <w:numPr>
          <w:ilvl w:val="0"/>
          <w:numId w:val="9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Bent Metal: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Modeled with correct inside bend radius and material thickness. Verify that 2D flat patterns/unfolds are provided with appropriate bend deductions.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C30C579" w14:textId="33895A96">
      <w:pPr>
        <w:pStyle w:val="735"/>
        <w:pBdr/>
        <w:spacing w:after="299" w:afterAutospacing="0" w:before="299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 xml:space="preserve">2. Layering &amp; Organization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D5CD0F3" w14:textId="661558B6">
      <w:pPr>
        <w:pStyle w:val="736"/>
        <w:numPr>
          <w:ilvl w:val="0"/>
          <w:numId w:val="8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Layer Names: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14B9F30" w14:textId="01849A1A">
      <w:pPr>
        <w:pStyle w:val="736"/>
        <w:numPr>
          <w:ilvl w:val="1"/>
          <w:numId w:val="8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Must begin with the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&lt;GM.&amp;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&amp;.#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####&gt;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material tag to correspond with the BOM (e.g.,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03_CWKA-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FE::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PUR::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SG::&lt;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GM.SG.12345&gt; Description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3291554" w14:textId="064D5992">
      <w:pPr>
        <w:pStyle w:val="736"/>
        <w:numPr>
          <w:ilvl w:val="1"/>
          <w:numId w:val="8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All handoff layers reside under the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03_CWKA-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FE::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PUR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or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03_CWKA-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FE::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MFG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parent.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914C69B" w14:textId="7F2CE7BF">
      <w:pPr>
        <w:pStyle w:val="736"/>
        <w:numPr>
          <w:ilvl w:val="2"/>
          <w:numId w:val="8"/>
        </w:numPr>
        <w:pBdr/>
        <w:spacing w:after="240" w:afterAutospacing="0" w:before="240" w:beforeAutospacing="0"/>
        <w:ind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If a project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warrants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strict MFG part version control, “_BLOCK” files will instead use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04_C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WKA-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PE::PUR</w:t>
      </w:r>
      <w:r>
        <w:rPr>
          <w:rFonts w:ascii="Consolas" w:hAnsi="Consolas" w:eastAsia="Consolas" w:cs="Consolas"/>
          <w:sz w:val="24"/>
          <w:szCs w:val="24"/>
          <w:lang w:val="en-US"/>
        </w:rPr>
      </w:r>
    </w:p>
    <w:p w14:paraId="44AB6483" w14:textId="7114219F">
      <w:pPr>
        <w:pStyle w:val="736"/>
        <w:numPr>
          <w:ilvl w:val="0"/>
          <w:numId w:val="8"/>
        </w:numPr>
        <w:pBdr/>
        <w:spacing w:after="240" w:afterAutospacing="0" w:before="240" w:beforeAutospacing="0"/>
        <w:ind/>
        <w:rPr>
          <w:rFonts w:ascii="Calibri" w:hAnsi="Calibri" w:eastAsia="Calibri" w:cs="Calibri"/>
          <w:b/>
          <w:bCs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Reference Data: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Resides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on 03_CWKA-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FE::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CON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child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layers.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</w:r>
    </w:p>
    <w:p w14:paraId="740C4184" w14:textId="184398F6">
      <w:pPr>
        <w:pStyle w:val="736"/>
        <w:numPr>
          <w:ilvl w:val="1"/>
          <w:numId w:val="8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Construction geometry (reference surfaces, differencing cylinders for holes, guide curves, etc) must be purged.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96A63C0" w14:textId="440BD413">
      <w:pPr>
        <w:pStyle w:val="736"/>
        <w:numPr>
          <w:ilvl w:val="1"/>
          <w:numId w:val="8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“By Others” geometry may remain in the release file for reference if it dictates specific machining coordination.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9B7E95F" w14:textId="3CA36701">
      <w:pPr>
        <w:pStyle w:val="735"/>
        <w:pBdr/>
        <w:spacing w:after="299" w:afterAutospacing="0" w:before="299" w:beforeAutospacing="0"/>
        <w:ind/>
        <w:rPr/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 xml:space="preserve">3. ERP, BOM &amp; Material Validation</w:t>
      </w:r>
      <w:r/>
    </w:p>
    <w:p w14:paraId="6736FB24" w14:textId="5BA8BCCC">
      <w:pPr>
        <w:pStyle w:val="736"/>
        <w:numPr>
          <w:ilvl w:val="0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BOM Synchronization: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Cross-reference all material tags (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&lt;&gt;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) in the Rhino file against the Epicor BOM.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041F5C8" w14:textId="716C3E1B">
      <w:pPr>
        <w:pStyle w:val="736"/>
        <w:numPr>
          <w:ilvl w:val="1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All materials used in the model must appear on the Epicor BOM. If a needed material is not currently in Epicor: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ACBCC62" w14:textId="6564FCB9">
      <w:pPr>
        <w:pStyle w:val="736"/>
        <w:numPr>
          <w:ilvl w:val="2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Global materials (GM) are requested in the Part Requests channel. Availability for BOM subject to 24hr server sync cycle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203E48E" w14:textId="43BB3894">
      <w:pPr>
        <w:pStyle w:val="736"/>
        <w:numPr>
          <w:ilvl w:val="2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Project-specific materials and Manufactured parts are created directly by FE in Epicor “Part Entry” dashboard, then added to BOM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223A1984" w14:textId="13F42D18">
      <w:pPr>
        <w:pStyle w:val="736"/>
        <w:numPr>
          <w:ilvl w:val="1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Every material on the BOM must derive from an entry in the Epicor Parts master table, cannot be a  '“part-on-the-fly”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0B9F1EF">
      <w:pPr>
        <w:pStyle w:val="736"/>
        <w:numPr>
          <w:ilvl w:val="1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en-US" w:bidi="en-US"/>
        </w:rPr>
        <w:t xml:space="preserve">Every material must be assigned to the correct “Rel Opr.” (Related Operation)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D9A9861">
      <w:pPr>
        <w:pStyle w:val="736"/>
        <w:numPr>
          <w:ilvl w:val="1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en-US" w:bidi="en-US"/>
        </w:rPr>
        <w:t xml:space="preserve">Note: Any changes to the BOM made post-release must be flagged with the “Added Mtl” checkbox.</w:t>
      </w:r>
      <w:r>
        <w:rPr>
          <w:rFonts w:ascii="Calibri" w:hAnsi="Calibri" w:eastAsia="Calibri" w:cs="Calibri"/>
          <w:sz w:val="24"/>
          <w:szCs w:val="24"/>
          <w:highlight w:val="none"/>
          <w:lang w:val="en-US" w:bidi="en-US"/>
        </w:rPr>
      </w:r>
      <w:r>
        <w:rPr>
          <w:rFonts w:ascii="Calibri" w:hAnsi="Calibri" w:eastAsia="Calibri" w:cs="Calibri"/>
          <w:sz w:val="24"/>
          <w:szCs w:val="24"/>
          <w:highlight w:val="none"/>
          <w:lang w:val="en-US" w:bidi="en-US"/>
        </w:rPr>
      </w:r>
    </w:p>
    <w:p w14:paraId="2E96BFA7" w14:textId="08D305DD">
      <w:pPr>
        <w:pStyle w:val="736"/>
        <w:numPr>
          <w:ilvl w:val="0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Takeoffs: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BOM gross quantity for the whole job for each material to cover the rough stock needed to produce the final geometry as modeled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6FFD584" w14:textId="00673839">
      <w:pPr>
        <w:pStyle w:val="736"/>
        <w:numPr>
          <w:ilvl w:val="1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Board Footage: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Calculations completed per company standard and reflected in the Epicor requested parts.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BBFE921" w14:textId="7A185CA2">
      <w:pPr>
        <w:pStyle w:val="736"/>
        <w:numPr>
          <w:ilvl w:val="2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Note: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Solid Lumber (SL) board dimensions (min. length, min. width) must be added to the material description on the BOM.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F34BD0C" w14:textId="76FBD027">
      <w:pPr>
        <w:pStyle w:val="736"/>
        <w:numPr>
          <w:ilvl w:val="1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Verify "Fixed QTY" is checked for each material (except CMG) so that the material will not be multiplied by Job’s parent quantity.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215AE14C" w14:textId="6DE6CCB3">
      <w:pPr>
        <w:pStyle w:val="736"/>
        <w:numPr>
          <w:ilvl w:val="1"/>
          <w:numId w:val="7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Reminder that Engineering should not add bulk overage % beyond the takeoff amount to material quantities to the BOM.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8C05B8B" w14:textId="3E158BBD">
      <w:pPr>
        <w:pStyle w:val="735"/>
        <w:pBdr/>
        <w:spacing w:after="299" w:afterAutospacing="0" w:before="299" w:beforeAutospacing="0"/>
        <w:ind/>
        <w:rPr/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 xml:space="preserve">4. Production Readiness &amp; Tooling</w:t>
      </w:r>
      <w:r/>
    </w:p>
    <w:p w14:paraId="7C1771F6" w14:textId="12CFF7D1">
      <w:pPr>
        <w:pStyle w:val="736"/>
        <w:numPr>
          <w:ilvl w:val="0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Shipping Components: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Model must be broken into shipping units.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14DD43F" w14:textId="45A6CEB1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Reminder: A shipping component is a completed rigid assembly that leaves the shop with a single identifying tag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2828535" w14:textId="6BFC9B70">
      <w:pPr>
        <w:pStyle w:val="736"/>
        <w:numPr>
          <w:ilvl w:val="2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Multiples of LIKE geometries can be shipped under a single Shipping Component number.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891D652" w14:textId="72FFEE69">
      <w:pPr>
        <w:pStyle w:val="736"/>
        <w:numPr>
          <w:ilvl w:val="2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Loose UNLIKE geometries cannot be shipped under a single Shipping Component number.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14B029A" w14:textId="137B658E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ERP Dashboard Upload: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Upload the Shipping Components List to Epicor’s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UD40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(or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UD37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for CMG) dashboard.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10AB590" w14:textId="03DE0BD0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Requirement: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Ensure both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Component Names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and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Quantities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are accurately reflected in the dashboard.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CF04699" w14:textId="62B19D48">
      <w:pPr>
        <w:pStyle w:val="736"/>
        <w:numPr>
          <w:ilvl w:val="0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b/>
          <w:bCs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Tooling Audit: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</w:r>
    </w:p>
    <w:p w14:paraId="4E2F8E53" w14:textId="64817D2F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Check shop-specific bed sizes (e.g., NY CNC 5x12, Metal Laser 5x10).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5EF9AFD" w14:textId="6E50FF2C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Model must conform to manufacturing site-specific drill diameters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21F818F3" w14:textId="6FFCFC2D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For Laser: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Ensure hole diameters are not smaller than material thickness.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26DE4161" w14:textId="5D76E398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Support Project Mgmt / Purchasing to order any required new dies or custom tooling ahead of the Job Start Date.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5400656" w14:textId="7D07AD22">
      <w:pPr>
        <w:pStyle w:val="736"/>
        <w:numPr>
          <w:ilvl w:val="0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Nesting &amp; Tolerances: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All Parts must fit within sheet tolerances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A3EA405" w14:textId="361EDA6E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Note: The full nominal area of the sheet is not available for nesting.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CC28472" w14:textId="647764A0">
      <w:pPr>
        <w:pStyle w:val="736"/>
        <w:numPr>
          <w:ilvl w:val="2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1/2" perimeter clear zone for wood CNC,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DB26D21" w14:textId="73587262">
      <w:pPr>
        <w:pStyle w:val="736"/>
        <w:numPr>
          <w:ilvl w:val="2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Greater of 1/4" or material thickness perimeter clear zone for metal laser.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1868EEE" w14:textId="1CEF4A4D">
      <w:pPr>
        <w:pStyle w:val="736"/>
        <w:numPr>
          <w:ilvl w:val="0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Manufactured Part Jobs: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5E53584" w14:textId="090B03DE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Note: Manufactured part must be collaboratively identified with Project Advisor (PA)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73674DD" w14:textId="3885B95D">
      <w:pPr>
        <w:pStyle w:val="736"/>
        <w:numPr>
          <w:ilvl w:val="1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Submit the Job Request Form for all necessary MFG jobs and create the required folders.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CF12B6F" w14:textId="6603CC43">
      <w:pPr>
        <w:pStyle w:val="736"/>
        <w:numPr>
          <w:ilvl w:val="2"/>
          <w:numId w:val="6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MFG parts are released independently in advance of the parent jobs that they feed.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30F38B1" w14:textId="538D5485">
      <w:pPr>
        <w:pStyle w:val="735"/>
        <w:pBdr/>
        <w:spacing w:after="299" w:afterAutospacing="0" w:before="299" w:beforeAutospacing="0"/>
        <w:ind/>
        <w:rPr/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 xml:space="preserve">5. Final Handoff &amp; Documentation</w:t>
      </w:r>
      <w:r/>
    </w:p>
    <w:p w14:paraId="42781F9C" w14:textId="7E24211D">
      <w:pPr>
        <w:pStyle w:val="736"/>
        <w:numPr>
          <w:ilvl w:val="0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PE Export: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Acceptable filenames (prefix before _PE):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CDE883F" w14:textId="02293162">
      <w:pPr>
        <w:pStyle w:val="736"/>
        <w:numPr>
          <w:ilvl w:val="2"/>
          <w:numId w:val="5"/>
        </w:numPr>
        <w:pBdr/>
        <w:spacing/>
        <w:ind/>
        <w:rPr>
          <w:sz w:val="24"/>
          <w:szCs w:val="24"/>
        </w:rPr>
      </w:pPr>
      <w:r>
        <w:t xml:space="preserve">Standard: PROJ.NUM — </w:t>
      </w:r>
      <w:r>
        <w:t xml:space="preserve">e.g.</w:t>
      </w:r>
      <w:r>
        <w:t xml:space="preserve"> 1105.007_PE.3dm, 1105.007_PE_20250124.3dm</w:t>
      </w:r>
      <w:r>
        <w:rPr>
          <w:sz w:val="24"/>
          <w:szCs w:val="24"/>
        </w:rPr>
      </w:r>
    </w:p>
    <w:p w14:paraId="1C916CFF" w14:textId="24C587E5">
      <w:pPr>
        <w:pStyle w:val="736"/>
        <w:numPr>
          <w:ilvl w:val="2"/>
          <w:numId w:val="5"/>
        </w:numPr>
        <w:pBdr/>
        <w:spacing/>
        <w:ind/>
        <w:rPr/>
      </w:pPr>
      <w:r>
        <w:t xml:space="preserve">Standard manufactured part: PROJ.MT or PROJ.WC + 5-digit part number — </w:t>
      </w:r>
      <w:r>
        <w:t xml:space="preserve">e.g.</w:t>
      </w:r>
      <w:r>
        <w:t xml:space="preserve"> </w:t>
      </w:r>
      <w:r>
        <w:t xml:space="preserve">1103.MT.</w:t>
      </w:r>
      <w:r>
        <w:t xml:space="preserve">00004_PE.3dm, 1105.WC.00100_PE.3dm</w:t>
      </w:r>
      <w:r/>
    </w:p>
    <w:p w14:paraId="29CF34BF" w14:textId="6DD86782">
      <w:pPr>
        <w:pStyle w:val="736"/>
        <w:numPr>
          <w:ilvl w:val="2"/>
          <w:numId w:val="5"/>
        </w:numPr>
        <w:pBdr/>
        <w:spacing/>
        <w:ind/>
        <w:rPr>
          <w:sz w:val="24"/>
          <w:szCs w:val="24"/>
        </w:rPr>
      </w:pPr>
      <w:r>
        <w:t xml:space="preserve">Catalog item: 2-char account + 2-char category + 3-digit number — </w:t>
      </w:r>
      <w:r>
        <w:t xml:space="preserve">e.g.</w:t>
      </w:r>
      <w:r>
        <w:t xml:space="preserve"> CM.BE.001_PE.3dm</w:t>
      </w:r>
      <w:r>
        <w:rPr>
          <w:sz w:val="24"/>
          <w:szCs w:val="24"/>
        </w:rPr>
      </w:r>
    </w:p>
    <w:p w14:paraId="43F7B6F4" w14:textId="08AD53FE">
      <w:pPr>
        <w:pStyle w:val="736"/>
        <w:numPr>
          <w:ilvl w:val="2"/>
          <w:numId w:val="5"/>
        </w:numPr>
        <w:pBdr/>
        <w:spacing/>
        <w:ind/>
        <w:rPr>
          <w:sz w:val="24"/>
          <w:szCs w:val="24"/>
        </w:rPr>
      </w:pPr>
      <w:r>
        <w:t xml:space="preserve">Catalog manufactured part: 2-char account + MT or WC + 5-digit part number — </w:t>
      </w:r>
      <w:r>
        <w:t xml:space="preserve">e.g.</w:t>
      </w:r>
      <w:r>
        <w:t xml:space="preserve"> CM.MT.00005_PE.3dm, TT.WC.00100_PE.3dm</w:t>
      </w:r>
      <w:r>
        <w:rPr>
          <w:sz w:val="24"/>
          <w:szCs w:val="24"/>
        </w:rPr>
      </w:r>
    </w:p>
    <w:p w14:paraId="0747349A" w14:textId="311D61B6">
      <w:pPr>
        <w:pStyle w:val="736"/>
        <w:numPr>
          <w:ilvl w:val="2"/>
          <w:numId w:val="5"/>
        </w:numPr>
        <w:pBdr/>
        <w:spacing/>
        <w:ind/>
        <w:rPr>
          <w:sz w:val="24"/>
          <w:szCs w:val="24"/>
        </w:rPr>
      </w:pPr>
      <w:r>
        <w:t xml:space="preserve">Isodate</w:t>
      </w:r>
      <w:r>
        <w:t xml:space="preserve"> of release follows _PE (PROJ.JOB _PE_20250124.3dm).</w:t>
      </w:r>
      <w:r>
        <w:rPr>
          <w:sz w:val="24"/>
          <w:szCs w:val="24"/>
        </w:rPr>
      </w:r>
    </w:p>
    <w:p w14:paraId="6FFC5E3B" w14:textId="3AA55AED">
      <w:pPr>
        <w:pStyle w:val="736"/>
        <w:numPr>
          <w:ilvl w:val="1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b/>
          <w:bCs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File Organization: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</w:r>
    </w:p>
    <w:p w14:paraId="75E7E9AD" w14:textId="4EA1E524">
      <w:pPr>
        <w:pStyle w:val="736"/>
        <w:numPr>
          <w:ilvl w:val="2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Move the purged Rhino release file to the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03_PE_Releases/PROJ.JOB/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Production_Files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folder.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41EC6C54" w14:textId="5224EAE0">
      <w:pPr>
        <w:pStyle w:val="736"/>
        <w:numPr>
          <w:ilvl w:val="2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Copy the full PDF fabrication set (including Finish/Material schedules) to 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03_PE_Releases/PROJ.JOB/</w:t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Production_Drawings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0752EC6" w14:textId="527F2E30">
      <w:pPr>
        <w:pStyle w:val="736"/>
        <w:numPr>
          <w:ilvl w:val="1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Geometry State: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Models should show geometry as it comes "off the machine" (e.g., sharp corners for bench-applied round-overs).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926061D" w14:textId="036DB376">
      <w:pPr>
        <w:pStyle w:val="736"/>
        <w:numPr>
          <w:ilvl w:val="1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PDF Standards: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Ensure drawings are exported as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Vector PDFs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(where possible) and Shipping Components are individually noted.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DFDBFFF" w14:textId="5CA14100">
      <w:pPr>
        <w:pStyle w:val="736"/>
        <w:numPr>
          <w:ilvl w:val="0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Epicor Admin (Job Level):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Ensure the following fields are set: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76B302B" w14:textId="3E5B5906">
      <w:pPr>
        <w:pStyle w:val="736"/>
        <w:numPr>
          <w:ilvl w:val="1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"Engineering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Complete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”: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Check the "Engineering Complete" box for every material on the BOM to confirm you have double-checked quantities and part numbers.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36756D11" w14:textId="1216A261">
      <w:pPr>
        <w:pStyle w:val="736"/>
        <w:numPr>
          <w:ilvl w:val="1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"BOM Complete"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, and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"Field Dimensions Received"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tasks are verified complete; checkboxes are checked.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587088B" w14:textId="2DBCFCC3">
      <w:pPr>
        <w:pStyle w:val="736"/>
        <w:numPr>
          <w:ilvl w:val="1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"Fabrication Engineer"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field is filled with your name. Note: Field is labeled “Production Team” on Job Entry.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259773AC" w14:textId="02EA185A">
      <w:pPr>
        <w:pStyle w:val="736"/>
        <w:numPr>
          <w:ilvl w:val="0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b/>
          <w:bCs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Communication &amp; Notification: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</w:r>
    </w:p>
    <w:p w14:paraId="76050DCD" w14:textId="55BB92BE">
      <w:pPr>
        <w:pStyle w:val="736"/>
        <w:numPr>
          <w:ilvl w:val="1"/>
          <w:numId w:val="5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Submit the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FE-to-PE Form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. Tag the assigned Project Manager in the resulting channel post.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B2A7E3F" w14:textId="2E27C82F">
      <w:pPr>
        <w:pStyle w:val="736"/>
        <w:numPr>
          <w:ilvl w:val="2"/>
          <w:numId w:val="5"/>
        </w:numPr>
        <w:suppressLineNumbers w:val="false"/>
        <w:pBdr/>
        <w:bidi w:val="false"/>
        <w:spacing w:after="240" w:afterAutospacing="0" w:before="240" w:beforeAutospacing="0" w:line="259" w:lineRule="auto"/>
        <w:ind w:right="0" w:hanging="360" w:left="216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Releases that occur after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th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eir scheduled start dates,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require extra coordination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with adjacent departments.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2EAE1372" w14:textId="0A25F72D">
      <w:pPr>
        <w:pStyle w:val="736"/>
        <w:numPr>
          <w:ilvl w:val="2"/>
          <w:numId w:val="5"/>
        </w:numPr>
        <w:suppressLineNumbers w:val="false"/>
        <w:pBdr/>
        <w:bidi w:val="false"/>
        <w:spacing w:after="240" w:afterAutospacing="0" w:before="240" w:beforeAutospacing="0" w:line="259" w:lineRule="auto"/>
        <w:ind w:right="0" w:hanging="360" w:left="216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Please acknowledge that this coordination is underway in the notes field of the Release Post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5A8543BC" w14:textId="05F6EA28">
      <w:pPr>
        <w:pStyle w:val="737"/>
        <w:pBdr/>
        <w:spacing w:after="281" w:afterAutospacing="0" w:before="281" w:beforeAutospacing="0"/>
        <w:ind/>
        <w:rPr/>
      </w:pPr>
      <w:r>
        <w:rPr>
          <w:rFonts w:ascii="Calibri" w:hAnsi="Calibri" w:eastAsia="Calibri" w:cs="Calibri"/>
          <w:b/>
          <w:bCs/>
          <w:sz w:val="28"/>
          <w:szCs w:val="28"/>
          <w:lang w:val="en-US"/>
        </w:rPr>
        <w:t xml:space="preserve">Handoff Meeting Policy</w:t>
      </w:r>
      <w:r/>
    </w:p>
    <w:p w14:paraId="62A621D4" w14:textId="2956C0A3">
      <w:pPr>
        <w:pBdr/>
        <w:spacing w:after="240" w:afterAutospacing="0" w:before="240" w:beforeAutospacing="0"/>
        <w:ind/>
        <w:rPr/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A formal handoff meeting is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mandatory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if:</w:t>
      </w:r>
      <w:r/>
    </w:p>
    <w:p w14:paraId="1E096F08" w14:textId="58ABBB64">
      <w:pPr>
        <w:pStyle w:val="736"/>
        <w:numPr>
          <w:ilvl w:val="0"/>
          <w:numId w:val="4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The project includes custom tooling/dies.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6AFD1983" w14:textId="62406260">
      <w:pPr>
        <w:pStyle w:val="736"/>
        <w:numPr>
          <w:ilvl w:val="0"/>
          <w:numId w:val="4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There are oversized parts requiring special nesting.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78920B12" w14:textId="429BBA64">
      <w:pPr>
        <w:pStyle w:val="736"/>
        <w:numPr>
          <w:ilvl w:val="0"/>
          <w:numId w:val="4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The assembly involves complex non-standard "By Others" integration.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0A10DD33" w14:textId="0272AA76">
      <w:pPr>
        <w:pStyle w:val="736"/>
        <w:numPr>
          <w:ilvl w:val="0"/>
          <w:numId w:val="4"/>
        </w:numPr>
        <w:pBdr/>
        <w:spacing w:after="240" w:afterAutospacing="0" w:before="240" w:beforeAutospacing="0"/>
        <w:ind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The assembly includes details that deviate from established company norms. </w:t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 w14:paraId="1876F59D" w14:textId="0F47AE7A">
      <w:pPr>
        <w:pBdr/>
        <w:spacing w:after="240" w:afterAutospacing="0" w:before="240" w:beforeAutospacing="0"/>
        <w:ind/>
        <w:rPr/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 xml:space="preserve">Note: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 Use the "Notes" section of the handoff form to request a meeting with PE. PE may also request a handoff meeting upon file review.</w:t>
      </w:r>
      <w:r/>
    </w:p>
    <w:p w14:paraId="440C4A10" w14:textId="56A0ED41">
      <w:pPr>
        <w:pBdr/>
        <w:spacing/>
        <w:ind/>
        <w:rPr/>
      </w:pPr>
      <w:r/>
      <w:r/>
    </w:p>
    <w:sectPr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 Light">
    <w:panose1 w:val="020F03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6CEB1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45823C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067516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B08A2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64BEF5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65809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4350F2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61C9B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8FE4DB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B82D8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B593FB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0C62B64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BCD5C2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1B97060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7388DC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3F2287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5A6C8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243307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7DC07BF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0497856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66762CD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0FF027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644E2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77595A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7EC8CFA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49077FA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D0F9F1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08A677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180B24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24C962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3BCD55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4FAF35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58196F4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8"/>
  </w:num>
  <w:num w:numId="29">
    <w:abstractNumId w:val="29"/>
  </w:num>
  <w:num w:numId="30">
    <w:abstractNumId w:val="32"/>
  </w:num>
  <w:num w:numId="31">
    <w:abstractNumId w:val="31"/>
  </w:num>
  <w:num w:numId="32">
    <w:abstractNumId w:val="27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30"/>
    <w:next w:val="73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0"/>
    <w:next w:val="73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0"/>
    <w:next w:val="73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0"/>
    <w:next w:val="73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0"/>
    <w:next w:val="73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0"/>
    <w:next w:val="73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1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1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1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0"/>
    <w:next w:val="73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0"/>
    <w:next w:val="73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0"/>
    <w:next w:val="73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0"/>
    <w:next w:val="73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1"/>
    <w:link w:val="176"/>
    <w:uiPriority w:val="99"/>
    <w:pPr>
      <w:pBdr/>
      <w:spacing/>
      <w:ind/>
    </w:pPr>
  </w:style>
  <w:style w:type="paragraph" w:styleId="178">
    <w:name w:val="Footer"/>
    <w:basedOn w:val="73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1"/>
    <w:link w:val="178"/>
    <w:uiPriority w:val="99"/>
    <w:pPr>
      <w:pBdr/>
      <w:spacing/>
      <w:ind/>
    </w:pPr>
  </w:style>
  <w:style w:type="paragraph" w:styleId="180">
    <w:name w:val="Caption"/>
    <w:basedOn w:val="730"/>
    <w:next w:val="7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0"/>
    <w:next w:val="730"/>
    <w:uiPriority w:val="39"/>
    <w:unhideWhenUsed/>
    <w:pPr>
      <w:pBdr/>
      <w:spacing w:after="100"/>
      <w:ind/>
    </w:pPr>
  </w:style>
  <w:style w:type="paragraph" w:styleId="190">
    <w:name w:val="toc 2"/>
    <w:basedOn w:val="730"/>
    <w:next w:val="730"/>
    <w:uiPriority w:val="39"/>
    <w:unhideWhenUsed/>
    <w:pPr>
      <w:pBdr/>
      <w:spacing w:after="100"/>
      <w:ind w:left="220"/>
    </w:pPr>
  </w:style>
  <w:style w:type="paragraph" w:styleId="191">
    <w:name w:val="toc 3"/>
    <w:basedOn w:val="730"/>
    <w:next w:val="730"/>
    <w:uiPriority w:val="39"/>
    <w:unhideWhenUsed/>
    <w:pPr>
      <w:pBdr/>
      <w:spacing w:after="100"/>
      <w:ind w:left="440"/>
    </w:pPr>
  </w:style>
  <w:style w:type="paragraph" w:styleId="192">
    <w:name w:val="toc 4"/>
    <w:basedOn w:val="730"/>
    <w:next w:val="730"/>
    <w:uiPriority w:val="39"/>
    <w:unhideWhenUsed/>
    <w:pPr>
      <w:pBdr/>
      <w:spacing w:after="100"/>
      <w:ind w:left="660"/>
    </w:pPr>
  </w:style>
  <w:style w:type="paragraph" w:styleId="193">
    <w:name w:val="toc 5"/>
    <w:basedOn w:val="730"/>
    <w:next w:val="730"/>
    <w:uiPriority w:val="39"/>
    <w:unhideWhenUsed/>
    <w:pPr>
      <w:pBdr/>
      <w:spacing w:after="100"/>
      <w:ind w:left="880"/>
    </w:pPr>
  </w:style>
  <w:style w:type="paragraph" w:styleId="194">
    <w:name w:val="toc 6"/>
    <w:basedOn w:val="730"/>
    <w:next w:val="730"/>
    <w:uiPriority w:val="39"/>
    <w:unhideWhenUsed/>
    <w:pPr>
      <w:pBdr/>
      <w:spacing w:after="100"/>
      <w:ind w:left="1100"/>
    </w:pPr>
  </w:style>
  <w:style w:type="paragraph" w:styleId="195">
    <w:name w:val="toc 7"/>
    <w:basedOn w:val="730"/>
    <w:next w:val="730"/>
    <w:uiPriority w:val="39"/>
    <w:unhideWhenUsed/>
    <w:pPr>
      <w:pBdr/>
      <w:spacing w:after="100"/>
      <w:ind w:left="1320"/>
    </w:pPr>
  </w:style>
  <w:style w:type="paragraph" w:styleId="196">
    <w:name w:val="toc 8"/>
    <w:basedOn w:val="730"/>
    <w:next w:val="730"/>
    <w:uiPriority w:val="39"/>
    <w:unhideWhenUsed/>
    <w:pPr>
      <w:pBdr/>
      <w:spacing w:after="100"/>
      <w:ind w:left="1540"/>
    </w:pPr>
  </w:style>
  <w:style w:type="paragraph" w:styleId="197">
    <w:name w:val="toc 9"/>
    <w:basedOn w:val="730"/>
    <w:next w:val="73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0"/>
    <w:next w:val="730"/>
    <w:uiPriority w:val="99"/>
    <w:unhideWhenUsed/>
    <w:pPr>
      <w:pBdr/>
      <w:spacing w:after="0" w:afterAutospacing="0"/>
      <w:ind/>
    </w:pPr>
  </w:style>
  <w:style w:type="paragraph" w:styleId="730" w:default="1">
    <w:name w:val="Normal"/>
    <w:qFormat/>
    <w:pPr>
      <w:pBdr/>
      <w:spacing/>
      <w:ind/>
    </w:pPr>
  </w:style>
  <w:style w:type="character" w:styleId="731" w:default="1">
    <w:name w:val="Default Paragraph Font"/>
    <w:uiPriority w:val="1"/>
    <w:unhideWhenUsed/>
    <w:pPr>
      <w:pBdr/>
      <w:spacing/>
      <w:ind/>
    </w:pPr>
  </w:style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3" w:default="1">
    <w:name w:val="No List"/>
    <w:uiPriority w:val="99"/>
    <w:semiHidden/>
    <w:unhideWhenUsed/>
    <w:pPr>
      <w:pBdr/>
      <w:spacing/>
      <w:ind/>
    </w:pPr>
  </w:style>
  <w:style w:type="paragraph" w:styleId="734">
    <w:name w:val="Heading 1"/>
    <w:basedOn w:val="730"/>
    <w:next w:val="73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Calibri Light" w:hAnsi="Calibri Light" w:asciiTheme="majorAscii" w:hAnsiTheme="majorAscii" w:eastAsiaTheme="majorEastAsia" w:cstheme="majorBidi"/>
      <w:color w:val="2e74b5" w:themeColor="accent1" w:themeTint="FF" w:themeShade="BF"/>
      <w:sz w:val="40"/>
      <w:szCs w:val="40"/>
    </w:rPr>
  </w:style>
  <w:style w:type="paragraph" w:styleId="735">
    <w:name w:val="Heading 2"/>
    <w:basedOn w:val="730"/>
    <w:next w:val="73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 Light" w:hAnsi="Calibri Light" w:asciiTheme="majorAscii" w:hAnsiTheme="majorAscii" w:eastAsiaTheme="majorEastAsia" w:cstheme="majorBidi"/>
      <w:color w:val="2e74b5" w:themeColor="accent1" w:themeTint="FF" w:themeShade="BF"/>
      <w:sz w:val="32"/>
      <w:szCs w:val="32"/>
    </w:rPr>
  </w:style>
  <w:style w:type="paragraph" w:styleId="736">
    <w:name w:val="List Paragraph"/>
    <w:basedOn w:val="730"/>
    <w:uiPriority w:val="34"/>
    <w:qFormat/>
    <w:pPr>
      <w:pBdr/>
      <w:spacing/>
      <w:ind w:left="720"/>
      <w:contextualSpacing w:val="true"/>
    </w:pPr>
  </w:style>
  <w:style w:type="paragraph" w:styleId="737">
    <w:name w:val="Heading 3"/>
    <w:basedOn w:val="730"/>
    <w:next w:val="73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e74b5" w:themeColor="accent1" w:themeTint="FF" w:themeShade="BF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2026-02-03T05:29:16Z</dcterms:modified>
</cp:coreProperties>
</file>