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2E74B5"/>
          <w:sz w:val="19"/>
        </w:rPr>
        <w:t>PRODUCT REQUIREMENTS DOCUMENT</w:t>
      </w:r>
    </w:p>
    <w:p>
      <w:pPr>
        <w:spacing w:before="0" w:after="100"/>
      </w:pPr>
      <w:r>
        <w:rPr>
          <w:rFonts w:ascii="Calibri" w:hAnsi="Calibri" w:eastAsia="Microsoft YaHei"/>
          <w:b/>
          <w:color w:val="17365D"/>
          <w:sz w:val="54"/>
        </w:rPr>
        <w:t>Agent 竞品分析系统</w:t>
      </w:r>
    </w:p>
    <w:p>
      <w:pPr>
        <w:spacing w:after="360"/>
      </w:pPr>
      <w:r>
        <w:rPr>
          <w:rFonts w:ascii="Calibri" w:hAnsi="Calibri" w:eastAsia="Microsoft YaHei"/>
          <w:color w:val="667085"/>
          <w:sz w:val="27"/>
        </w:rPr>
        <w:t>从多渠道情报采集到结构化竞品洞察与商业建议的自动化平台</w:t>
      </w:r>
    </w:p>
    <w:tbl>
      <w:tblPr>
        <w:tblW w:w="9360" w:type="dxa"/>
        <w:jc w:val="left"/>
        <w:tblInd w:w="120" w:type="dxa"/>
        <w:tblLayout w:type="fixed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文档属性</w:t>
            </w:r>
          </w:p>
        </w:tc>
        <w:tc>
          <w:tcPr>
            <w:tcW w:type="dxa" w:w="7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内容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版本 / 状态</w:t>
            </w:r>
          </w:p>
        </w:tc>
        <w:tc>
          <w:tcPr>
            <w:tcW w:type="dxa" w:w="7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V1.0 / 初稿，待业务、产品、技术与合规评审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日期</w:t>
            </w:r>
          </w:p>
        </w:tc>
        <w:tc>
          <w:tcPr>
            <w:tcW w:type="dxa" w:w="7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2026-07-31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适用阶段</w:t>
            </w:r>
          </w:p>
        </w:tc>
        <w:tc>
          <w:tcPr>
            <w:tcW w:type="dxa" w:w="7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MVP 立项与需求评审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目标读者</w:t>
            </w:r>
          </w:p>
        </w:tc>
        <w:tc>
          <w:tcPr>
            <w:tcW w:type="dxa" w:w="7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产品、研发、数据、算法、市场分析、产品运营、战略研究、法务与安全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需求依据</w:t>
            </w:r>
          </w:p>
        </w:tc>
        <w:tc>
          <w:tcPr>
            <w:tcW w:type="dxa" w:w="7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20"/>
              </w:rPr>
              <w:t>用户提供的“Agent 竞品分析系统”概念说明</w:t>
            </w:r>
          </w:p>
        </w:tc>
      </w:tr>
    </w:tbl>
    <w:p>
      <w:pPr>
        <w:spacing w:after="40"/>
      </w:pP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shd w:fill="E8EEF5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一句话定义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系统自动汇聚授权的公开竞品信息，完成证据化抽取、清洗、对比分析与报告生成，让企业按日获取可追溯的竞品动态和建议。</w:t>
            </w:r>
          </w:p>
        </w:tc>
      </w:tr>
    </w:tbl>
    <w:p>
      <w:pPr>
        <w:spacing w:after="40"/>
      </w:pPr>
    </w:p>
    <w:p>
      <w:pPr>
        <w:spacing w:before="0" w:after="80" w:line="264" w:lineRule="auto"/>
        <w:jc w:val="left"/>
      </w:pPr>
      <w:r>
        <w:rPr>
          <w:rFonts w:ascii="Calibri" w:hAnsi="Calibri" w:eastAsia="Microsoft YaHei"/>
          <w:i w:val="0"/>
          <w:color w:val="17365D"/>
          <w:sz w:val="24"/>
        </w:rPr>
        <w:t>核心价值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将“找资料—整理—分析—写报告”从人工串行流程变为可配置、可追溯的自动化流水线。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对每个结论保留来源、时间与证据片段，降低大模型幻觉对业务判断的影响。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面向市场分析、产品运营与战略研究，支持日报、专题分析、预警和管理层摘要。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9A6700"/>
              <w:left w:val="single" w:sz="8" w:space="0" w:color="9A6700"/>
              <w:bottom w:val="single" w:sz="8" w:space="0" w:color="9A6700"/>
              <w:right w:val="single" w:sz="8" w:space="0" w:color="9A6700"/>
              <w:insideH w:val="single" w:sz="8" w:space="0" w:color="9A6700"/>
              <w:insideV w:val="single" w:sz="8" w:space="0" w:color="9A6700"/>
            </w:tcBorders>
            <w:shd w:fill="FFF7E6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9A6700"/>
                <w:sz w:val="21"/>
              </w:rPr>
              <w:t xml:space="preserve">重要假设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图片未给出行业、企业规模、部署方式和具体数据源。本稿默认建设企业级 Web 系统，优先覆盖公开且获授权的数据；目标指标为建议值，须在试点后校准。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文档概述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背景与问题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202124"/>
          <w:sz w:val="22"/>
        </w:rPr>
        <w:t>传统竞品分析通常依赖分析人员跨官网、新闻、社交媒体和公开数据库收集资料，再手工去重、归档、比对和撰写报告。流程耗时、频率低、口径不统一，也难以在结论与原始证据之间建立稳定追溯关系。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202124"/>
          <w:sz w:val="22"/>
        </w:rPr>
        <w:t>本系统通过 Agent 编排数据采集、内容理解、结构化处理和分析生成，目标是把高频、重复、规则明确的工作自动化，同时保留人工复核、权限控制与合规边界。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产品目标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持续覆盖目标竞品、产品和主题，自动发现新增或变更信息。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把多模态、非结构化材料转化为统一且可查询的数据资产。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以证据为基础生成产品对比、优劣势、市场趋势和商业建议。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按计划自动交付日报、周报和专题报告，并对重大变化主动预警。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让分析人员把主要时间用于判断与决策，而不是机械搜集和排版。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成功指标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1  MVP 建议指标；正式目标应以试点基线与业务共识为准。</w:t>
      </w:r>
    </w:p>
    <w:tbl>
      <w:tblPr>
        <w:tblW w:w="9360" w:type="dxa"/>
        <w:jc w:val="left"/>
        <w:tblInd w:w="120" w:type="dxa"/>
        <w:tblLayout w:type="fixed"/>
      </w:tblPr>
      <w:tblGrid>
        <w:gridCol w:w="1150"/>
        <w:gridCol w:w="2200"/>
        <w:gridCol w:w="1650"/>
        <w:gridCol w:w="4360"/>
      </w:tblGrid>
      <w:tr>
        <w:trPr>
          <w:tblHeader/>
        </w:trPr>
        <w:tc>
          <w:tcPr>
            <w:tcW w:type="dxa" w:w="11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MVP 建议目标</w:t>
            </w:r>
          </w:p>
        </w:tc>
        <w:tc>
          <w:tcPr>
            <w:tcW w:type="dxa" w:w="4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口径</w:t>
            </w:r>
          </w:p>
        </w:tc>
      </w:tr>
      <w:tr>
        <w:tc>
          <w:tcPr>
            <w:tcW w:type="dxa" w:w="11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覆盖</w:t>
            </w:r>
          </w:p>
        </w:tc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关键竞品覆盖率</w:t>
            </w:r>
          </w:p>
        </w:tc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≥ 90%</w:t>
            </w:r>
          </w:p>
        </w:tc>
        <w:tc>
          <w:tcPr>
            <w:tcW w:type="dxa" w:w="4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已配置关键竞品中，过去 24 小时完成至少一次有效采集的比例</w:t>
            </w:r>
          </w:p>
        </w:tc>
      </w:tr>
      <w:tr>
        <w:tc>
          <w:tcPr>
            <w:tcW w:type="dxa" w:w="11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稳定性</w:t>
            </w:r>
          </w:p>
        </w:tc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计划任务成功率</w:t>
            </w:r>
          </w:p>
        </w:tc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≥ 95%</w:t>
            </w:r>
          </w:p>
        </w:tc>
        <w:tc>
          <w:tcPr>
            <w:tcW w:type="dxa" w:w="4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成功完成且产生可用结果的任务数 / 应执行任务数</w:t>
            </w:r>
          </w:p>
        </w:tc>
      </w:tr>
      <w:tr>
        <w:tc>
          <w:tcPr>
            <w:tcW w:type="dxa" w:w="11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数据质量</w:t>
            </w:r>
          </w:p>
        </w:tc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核心字段准确率</w:t>
            </w:r>
          </w:p>
        </w:tc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≥ 90%</w:t>
            </w:r>
          </w:p>
        </w:tc>
        <w:tc>
          <w:tcPr>
            <w:tcW w:type="dxa" w:w="4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在人工标注验收集上的字段级准确率</w:t>
            </w:r>
          </w:p>
        </w:tc>
      </w:tr>
      <w:tr>
        <w:tc>
          <w:tcPr>
            <w:tcW w:type="dxa" w:w="11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可追溯</w:t>
            </w:r>
          </w:p>
        </w:tc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有证据结论占比</w:t>
            </w:r>
          </w:p>
        </w:tc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100%</w:t>
            </w:r>
          </w:p>
        </w:tc>
        <w:tc>
          <w:tcPr>
            <w:tcW w:type="dxa" w:w="4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报告中事实型结论均绑定来源链接、采集时间和证据片段</w:t>
            </w:r>
          </w:p>
        </w:tc>
      </w:tr>
      <w:tr>
        <w:tc>
          <w:tcPr>
            <w:tcW w:type="dxa" w:w="11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时效</w:t>
            </w:r>
          </w:p>
        </w:tc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日报准时交付率</w:t>
            </w:r>
          </w:p>
        </w:tc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≥ 99%</w:t>
            </w:r>
          </w:p>
        </w:tc>
        <w:tc>
          <w:tcPr>
            <w:tcW w:type="dxa" w:w="4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在设定时间窗口内成功生成并通知的日报比例</w:t>
            </w:r>
          </w:p>
        </w:tc>
      </w:tr>
      <w:tr>
        <w:tc>
          <w:tcPr>
            <w:tcW w:type="dxa" w:w="11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效率</w:t>
            </w:r>
          </w:p>
        </w:tc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人工整理时长下降</w:t>
            </w:r>
          </w:p>
        </w:tc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≥ 70%</w:t>
            </w:r>
          </w:p>
        </w:tc>
        <w:tc>
          <w:tcPr>
            <w:tcW w:type="dxa" w:w="4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同等覆盖范围下，试点前后人工搜集与整理工时对比</w:t>
            </w:r>
          </w:p>
        </w:tc>
      </w:tr>
      <w:tr>
        <w:tc>
          <w:tcPr>
            <w:tcW w:type="dxa" w:w="11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质量</w:t>
            </w:r>
          </w:p>
        </w:tc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报告采纳率</w:t>
            </w:r>
          </w:p>
        </w:tc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≥ 60%</w:t>
            </w:r>
          </w:p>
        </w:tc>
        <w:tc>
          <w:tcPr>
            <w:tcW w:type="dxa" w:w="4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被查看后标记为有效或被引用的报告占比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范围与边界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MVP 范围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数据源管理：官网、新闻/RSS、公开数据库，以及依法合规接入的社交媒体或第三方 API。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采集调度：定时、按需和事件触发的任务；重试、限流、状态监控与失败告警。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数据处理：正文提取、语言识别、去噪、去重、分类、实体识别、字段映射和版本留存。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竞品分析：产品能力、定价、发布节奏、市场动作、舆情信号、优劣势和趋势对比。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交付与协作：可配置模板、在线报告、导出、订阅、预警、评论、人工复核和审计。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不在 MVP 范围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绕过登录、验证码、付费墙、访问控制或网站反爬机制。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在没有授权的情况下抓取个人隐私、封闭群组、受版权保护的全文或敏感数据。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自动对外发布观点、代表企业做采购/定价决策，或直接执行市场行动。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替代法律、财务或投资尽调；系统输出仅作为分析辅助，不构成专业意见。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MVP 阶段的音视频深度理解、专利全库检索和跨国法规自动判定。</w:t>
      </w: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用户与权限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2  角色与最小权限边界。</w:t>
      </w:r>
    </w:p>
    <w:tbl>
      <w:tblPr>
        <w:tblW w:w="9360" w:type="dxa"/>
        <w:jc w:val="left"/>
        <w:tblInd w:w="120" w:type="dxa"/>
        <w:tblLayout w:type="fixed"/>
      </w:tblPr>
      <w:tblGrid>
        <w:gridCol w:w="1450"/>
        <w:gridCol w:w="2350"/>
        <w:gridCol w:w="3200"/>
        <w:gridCol w:w="2360"/>
      </w:tblGrid>
      <w:tr>
        <w:trPr>
          <w:tblHeader/>
        </w:trPr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主要任务</w:t>
            </w:r>
          </w:p>
        </w:tc>
        <w:tc>
          <w:tcPr>
            <w:tcW w:type="dxa" w:w="3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关键权限</w:t>
            </w:r>
          </w:p>
        </w:tc>
        <w:tc>
          <w:tcPr>
            <w:tcW w:type="dxa" w:w="2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限制</w:t>
            </w:r>
          </w:p>
        </w:tc>
      </w:tr>
      <w:tr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系统管理员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租户、账号、模型和集成配置</w:t>
            </w:r>
          </w:p>
        </w:tc>
        <w:tc>
          <w:tcPr>
            <w:tcW w:type="dxa" w:w="3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全局配置、权限、审计、密钥托管</w:t>
            </w:r>
          </w:p>
        </w:tc>
        <w:tc>
          <w:tcPr>
            <w:tcW w:type="dxa" w:w="2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默认不可查看受限业务空间内容</w:t>
            </w:r>
          </w:p>
        </w:tc>
      </w:tr>
      <w:tr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数据运营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维护数据源与采集质量</w:t>
            </w:r>
          </w:p>
        </w:tc>
        <w:tc>
          <w:tcPr>
            <w:tcW w:type="dxa" w:w="3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新建来源、调度任务、处理异常、维护字典</w:t>
            </w:r>
          </w:p>
        </w:tc>
        <w:tc>
          <w:tcPr>
            <w:tcW w:type="dxa" w:w="2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不可修改组织级安全策略</w:t>
            </w:r>
          </w:p>
        </w:tc>
      </w:tr>
      <w:tr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分析师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创建竞品项目并审阅洞察</w:t>
            </w:r>
          </w:p>
        </w:tc>
        <w:tc>
          <w:tcPr>
            <w:tcW w:type="dxa" w:w="3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查询、对比、生成报告、复核与标注</w:t>
            </w:r>
          </w:p>
        </w:tc>
        <w:tc>
          <w:tcPr>
            <w:tcW w:type="dxa" w:w="2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仅访问授权项目与数据域</w:t>
            </w:r>
          </w:p>
        </w:tc>
      </w:tr>
      <w:tr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业务查看者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消费报告与预警</w:t>
            </w:r>
          </w:p>
        </w:tc>
        <w:tc>
          <w:tcPr>
            <w:tcW w:type="dxa" w:w="3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查看、订阅、评论、导出获授权内容</w:t>
            </w:r>
          </w:p>
        </w:tc>
        <w:tc>
          <w:tcPr>
            <w:tcW w:type="dxa" w:w="2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不可改动数据和分析配置</w:t>
            </w:r>
          </w:p>
        </w:tc>
      </w:tr>
      <w:tr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审计/合规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检查来源、授权和操作记录</w:t>
            </w:r>
          </w:p>
        </w:tc>
        <w:tc>
          <w:tcPr>
            <w:tcW w:type="dxa" w:w="3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只读访问来源合规状态和审计日志</w:t>
            </w:r>
          </w:p>
        </w:tc>
        <w:tc>
          <w:tcPr>
            <w:tcW w:type="dxa" w:w="2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不参与业务内容编辑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核心使用场景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202124"/>
          <w:sz w:val="22"/>
        </w:rPr>
        <w:t>市场分析：</w:t>
      </w:r>
      <w:r>
        <w:rPr>
          <w:rFonts w:ascii="Calibri" w:hAnsi="Calibri" w:eastAsia="Microsoft YaHei"/>
          <w:color w:val="202124"/>
          <w:sz w:val="22"/>
        </w:rPr>
        <w:t>每天跟踪重点竞品的发布、定价、渠道、活动和舆情变化，形成晨报。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202124"/>
          <w:sz w:val="22"/>
        </w:rPr>
        <w:t>产品运营：</w:t>
      </w:r>
      <w:r>
        <w:rPr>
          <w:rFonts w:ascii="Calibri" w:hAnsi="Calibri" w:eastAsia="Microsoft YaHei"/>
          <w:color w:val="202124"/>
          <w:sz w:val="22"/>
        </w:rPr>
        <w:t>按功能域对比产品能力、版本更新和用户反馈，形成路线图输入。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202124"/>
          <w:sz w:val="22"/>
        </w:rPr>
        <w:t>战略研究：</w:t>
      </w:r>
      <w:r>
        <w:rPr>
          <w:rFonts w:ascii="Calibri" w:hAnsi="Calibri" w:eastAsia="Microsoft YaHei"/>
          <w:color w:val="202124"/>
          <w:sz w:val="22"/>
        </w:rPr>
        <w:t>围绕行业主题聚合多家竞争者、资本动态、合作生态和趋势信号，形成专题报告。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202124"/>
          <w:sz w:val="22"/>
        </w:rPr>
        <w:t>管理层决策：</w:t>
      </w:r>
      <w:r>
        <w:rPr>
          <w:rFonts w:ascii="Calibri" w:hAnsi="Calibri" w:eastAsia="Microsoft YaHei"/>
          <w:color w:val="202124"/>
          <w:sz w:val="22"/>
        </w:rPr>
        <w:t>用一页摘要查看关键变化、影响等级、证据和建议动作。</w:t>
      </w: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产品方案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端到端流程</w:t>
      </w:r>
    </w:p>
    <w:p>
      <w:pPr>
        <w:pStyle w:val="PRDNumbered"/>
        <w:keepLines/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配置分析项目：确定竞品、产品线、地区、语言、关注主题和报告模板。</w:t>
      </w:r>
    </w:p>
    <w:p>
      <w:pPr>
        <w:pStyle w:val="PRDNumbered"/>
        <w:keepLines/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登记数据源：记录来源类型、入口、访问方式、授权依据、抓取频率和保留策略。</w:t>
      </w:r>
    </w:p>
    <w:p>
      <w:pPr>
        <w:pStyle w:val="PRDNumbered"/>
        <w:keepLines/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执行采集任务：调度器调用连接器，遵守限流与合规策略，并记录任务日志。</w:t>
      </w:r>
    </w:p>
    <w:p>
      <w:pPr>
        <w:pStyle w:val="PRDNumbered"/>
        <w:keepLines/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处理与入库：提取正文/元数据，清洗去重，识别实体和事件，保存原文快照与版本。</w:t>
      </w:r>
    </w:p>
    <w:p>
      <w:pPr>
        <w:pStyle w:val="PRDNumbered"/>
        <w:keepLines/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生成候选洞察：基于结构化事实与证据集合进行对比、归因、趋势识别和异常检测。</w:t>
      </w:r>
    </w:p>
    <w:p>
      <w:pPr>
        <w:pStyle w:val="PRDNumbered"/>
        <w:keepLines/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质量门禁：校验来源、新鲜度、字段完整度、置信度与敏感内容；低置信结果进入人工复核。</w:t>
      </w:r>
    </w:p>
    <w:p>
      <w:pPr>
        <w:pStyle w:val="PRDNumbered"/>
        <w:keepLines/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生成报告与预警：按模板组合结论、证据、图表和建议，并推送给订阅者。</w:t>
      </w:r>
    </w:p>
    <w:p>
      <w:pPr>
        <w:pStyle w:val="PRDNumbered"/>
        <w:keepLines/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反馈闭环：用户评价结论、修订实体或标签，系统将反馈用于规则和提示词优化。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257A4B"/>
              <w:left w:val="single" w:sz="8" w:space="0" w:color="257A4B"/>
              <w:bottom w:val="single" w:sz="8" w:space="0" w:color="257A4B"/>
              <w:right w:val="single" w:sz="8" w:space="0" w:color="257A4B"/>
              <w:insideH w:val="single" w:sz="8" w:space="0" w:color="257A4B"/>
              <w:insideV w:val="single" w:sz="8" w:space="0" w:color="257A4B"/>
            </w:tcBorders>
            <w:shd w:fill="ECF7F0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57A4B"/>
                <w:sz w:val="21"/>
              </w:rPr>
              <w:t xml:space="preserve">设计原则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自动化不等于黑盒。任何进入报告的事实型结论都必须能回溯到来源；任何低置信、高风险或来源冲突的结论都必须显式标记。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功能全景与优先级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3  P0 为 MVP 必需，P1 为首个增强版本，P2 为后续能力。</w:t>
      </w:r>
    </w:p>
    <w:tbl>
      <w:tblPr>
        <w:tblW w:w="9360" w:type="dxa"/>
        <w:jc w:val="left"/>
        <w:tblInd w:w="120" w:type="dxa"/>
        <w:tblLayout w:type="fixed"/>
      </w:tblPr>
      <w:tblGrid>
        <w:gridCol w:w="1500"/>
        <w:gridCol w:w="2880"/>
        <w:gridCol w:w="2760"/>
        <w:gridCol w:w="2220"/>
      </w:tblGrid>
      <w:tr>
        <w:trPr>
          <w:tblHeader/>
        </w:trP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P0</w:t>
            </w:r>
          </w:p>
        </w:tc>
        <w:tc>
          <w:tcPr>
            <w:tcW w:type="dxa" w:w="2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P1</w:t>
            </w:r>
          </w:p>
        </w:tc>
        <w:tc>
          <w:tcPr>
            <w:tcW w:type="dxa" w:w="22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P2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数据源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官网、新闻/RSS、公开 API；授权与健康状态</w:t>
            </w:r>
          </w:p>
        </w:tc>
        <w:tc>
          <w:tcPr>
            <w:tcW w:type="dxa" w:w="2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社媒 API、文件批量导入</w:t>
            </w:r>
          </w:p>
        </w:tc>
        <w:tc>
          <w:tcPr>
            <w:tcW w:type="dxa" w:w="22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生态插件市场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采集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定时/按需、重试、限流、日志</w:t>
            </w:r>
          </w:p>
        </w:tc>
        <w:tc>
          <w:tcPr>
            <w:tcW w:type="dxa" w:w="2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变更触发、增量抓取</w:t>
            </w:r>
          </w:p>
        </w:tc>
        <w:tc>
          <w:tcPr>
            <w:tcW w:type="dxa" w:w="22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自适应采集策略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处理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正文提取、去重、分类、实体与事件</w:t>
            </w:r>
          </w:p>
        </w:tc>
        <w:tc>
          <w:tcPr>
            <w:tcW w:type="dxa" w:w="2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多语种归一、图表/OCR</w:t>
            </w:r>
          </w:p>
        </w:tc>
        <w:tc>
          <w:tcPr>
            <w:tcW w:type="dxa" w:w="22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音视频理解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分析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对比矩阵、变化摘要、SWOT、趋势</w:t>
            </w:r>
          </w:p>
        </w:tc>
        <w:tc>
          <w:tcPr>
            <w:tcW w:type="dxa" w:w="2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舆情与主题聚类、异常检测</w:t>
            </w:r>
          </w:p>
        </w:tc>
        <w:tc>
          <w:tcPr>
            <w:tcW w:type="dxa" w:w="22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情景推演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报告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日报/周报/专题、证据引用、导出</w:t>
            </w:r>
          </w:p>
        </w:tc>
        <w:tc>
          <w:tcPr>
            <w:tcW w:type="dxa" w:w="2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可视化编辑与多渠道推送</w:t>
            </w:r>
          </w:p>
        </w:tc>
        <w:tc>
          <w:tcPr>
            <w:tcW w:type="dxa" w:w="22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自然语言问数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治理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RBAC、审计、敏感信息与保留策略</w:t>
            </w:r>
          </w:p>
        </w:tc>
        <w:tc>
          <w:tcPr>
            <w:tcW w:type="dxa" w:w="2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质量工作台、模型评估</w:t>
            </w:r>
          </w:p>
        </w:tc>
        <w:tc>
          <w:tcPr>
            <w:tcW w:type="dxa" w:w="22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跨区域治理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详细功能需求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FR-01 分析项目与竞品档案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202124"/>
          <w:sz w:val="22"/>
        </w:rPr>
        <w:t>系统应以“分析项目”组织竞品、主题、数据源、报告和权限，使不同业务线能够独立管理关注范围与口径。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支持新建、复制、归档项目；配置行业、地区、语言、时区、报告频率和成员权限。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支持竞品企业、品牌、产品、版本与别名；处理同名、改名、并购和产品下线。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支持关注主题与字段模板，例如定价、功能、渠道、合作、招聘、融资和用户反馈。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项目首页展示覆盖率、新鲜度、异常任务、最新变化和待复核事项。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667085"/>
              <w:left w:val="single" w:sz="8" w:space="0" w:color="667085"/>
              <w:bottom w:val="single" w:sz="8" w:space="0" w:color="667085"/>
              <w:right w:val="single" w:sz="8" w:space="0" w:color="667085"/>
              <w:insideH w:val="single" w:sz="8" w:space="0" w:color="667085"/>
              <w:insideV w:val="single" w:sz="8" w:space="0" w:color="667085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667085"/>
                <w:sz w:val="21"/>
              </w:rPr>
              <w:t xml:space="preserve">验收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创建项目并添加 3 家竞品后，可分别查看其档案、来源和事件；归档项目不再运行计划任务，但历史数据仍可查询。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FR-02 数据源与授权管理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来源类型至少包括网页、站点地图、RSS、公开 API、授权社媒 API、公开数据库和上传文件。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每个来源记录 URL/接口、来源主体、访问方式、抓取策略、适用地区、授权依据、数据分类和保留期限。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系统在启用前执行连通性、robots/使用条款提示、速率限制和字段可用性检查；不满足策略时禁止启用。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凭据必须通过密钥服务托管，界面只显示掩码；支持凭据轮换和到期提醒。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提供来源健康评分：成功率、连续失败、延迟、新鲜度、内容变化和解析完整度。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667085"/>
              <w:left w:val="single" w:sz="8" w:space="0" w:color="667085"/>
              <w:bottom w:val="single" w:sz="8" w:space="0" w:color="667085"/>
              <w:right w:val="single" w:sz="8" w:space="0" w:color="667085"/>
              <w:insideH w:val="single" w:sz="8" w:space="0" w:color="667085"/>
              <w:insideV w:val="single" w:sz="8" w:space="0" w:color="667085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667085"/>
                <w:sz w:val="21"/>
              </w:rPr>
              <w:t xml:space="preserve">验收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管理员可完整追溯某条数据的来源、授权状态、采集时间和解析版本；禁用来源后不得发起新的采集。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FR-03 采集编排与任务中心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支持定时、立即、事件触发和 API 触发；按项目、来源和优先级分配任务队列。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支持增量采集、内容指纹、条件请求、分页、超时、指数退避重试和单来源并发限制。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任务状态包括待执行、运行中、成功、部分成功、失败、已取消和待人工处理。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失败需保留错误类型、请求摘要、解析步骤、重试次数和关联来源，并可批量重跑。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为反复失败、结构突变、长时间无更新和采集量异常提供告警。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667085"/>
              <w:left w:val="single" w:sz="8" w:space="0" w:color="667085"/>
              <w:bottom w:val="single" w:sz="8" w:space="0" w:color="667085"/>
              <w:right w:val="single" w:sz="8" w:space="0" w:color="667085"/>
              <w:insideH w:val="single" w:sz="8" w:space="0" w:color="667085"/>
              <w:insideV w:val="single" w:sz="8" w:space="0" w:color="667085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667085"/>
                <w:sz w:val="21"/>
              </w:rPr>
              <w:t xml:space="preserve">验收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计划任务在配置窗口内自动执行；同一内容不重复入库；超过重试阈值后进入异常队列并通知数据运营。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FR-04 内容处理与数据质量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保存原始响应/文件、可读正文、元数据、结构化字段、处理链路和版本号。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完成语言识别、编码修复、正文抽取、广告/导航去除、时间标准化、去重和近似重复合并。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识别企业、品牌、产品、人物、版本、价格、地点、日期、功能和事件，并关联主数据。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对字段输出来源位置、抽取方式、置信度和校验结果；支持人工修订且保留变更历史。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冲突事实并存保存，不用新值静默覆盖旧值；系统标记冲突并提示复核。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667085"/>
              <w:left w:val="single" w:sz="8" w:space="0" w:color="667085"/>
              <w:bottom w:val="single" w:sz="8" w:space="0" w:color="667085"/>
              <w:right w:val="single" w:sz="8" w:space="0" w:color="667085"/>
              <w:insideH w:val="single" w:sz="8" w:space="0" w:color="667085"/>
              <w:insideV w:val="single" w:sz="8" w:space="0" w:color="667085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667085"/>
                <w:sz w:val="21"/>
              </w:rPr>
              <w:t xml:space="preserve">验收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任一结构化字段均可回到原始材料中的对应证据；人工修订不改写原始快照，且可查看修改人、时间和前后值。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FR-05 竞品分析引擎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按统一维度生成产品能力、套餐定价、目标市场、渠道、生态、发布节奏和口碑对比。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识别新增、删除、上调、下调、进入、退出、合作、发布等变化事件，并计算影响等级。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支持基于证据的优势、劣势、机会和威胁分析；观点与事实需在展示上区分。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支持按天/周/月观察主题热度、竞品活跃度和变化趋势；展示样本量与时间范围。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商业建议需说明适用对象、建议动作、依据、预期影响、风险和建议验证方式。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667085"/>
              <w:left w:val="single" w:sz="8" w:space="0" w:color="667085"/>
              <w:bottom w:val="single" w:sz="8" w:space="0" w:color="667085"/>
              <w:right w:val="single" w:sz="8" w:space="0" w:color="667085"/>
              <w:insideH w:val="single" w:sz="8" w:space="0" w:color="667085"/>
              <w:insideV w:val="single" w:sz="8" w:space="0" w:color="667085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667085"/>
                <w:sz w:val="21"/>
              </w:rPr>
              <w:t xml:space="preserve">验收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相同输入和模板应产生结构稳定的分析；报告中的事实结论必须绑定至少一个有效来源，推断性结论必须标注“推断”。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FR-06 报告、订阅与预警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内置日报、周报、产品对比、竞品快讯、专题研究和高管摘要模板。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模板可配置覆盖范围、时间窗口、章节、对比维度、语言、篇幅、读者角色和审批流程。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报告包含执行摘要、关键变化、对比分析、趋势、影响判断、建议、风险、方法和来源。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支持在线阅读、版本留存、Word/PDF 导出，以及通过已授权的企业消息或邮件渠道通知。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预警规则可基于关键词、事件类型、竞品、影响等级、置信度和变化幅度；支持去重、静默期和升级。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667085"/>
              <w:left w:val="single" w:sz="8" w:space="0" w:color="667085"/>
              <w:bottom w:val="single" w:sz="8" w:space="0" w:color="667085"/>
              <w:right w:val="single" w:sz="8" w:space="0" w:color="667085"/>
              <w:insideH w:val="single" w:sz="8" w:space="0" w:color="667085"/>
              <w:insideV w:val="single" w:sz="8" w:space="0" w:color="667085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667085"/>
                <w:sz w:val="21"/>
              </w:rPr>
              <w:t xml:space="preserve">验收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用户可在 5 分钟内配置一份每日 09:00 的竞品晨报；生成失败自动重试并告警，历史版本可追溯。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FR-07 检索、看板与协作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支持按竞品、产品、主题、事件、来源、地区、语言、时间和置信度组合检索。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看板展示新增事件、影响等级、来源覆盖、新鲜度、报告阅读和待复核队列。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分析师可对事实、洞察和报告进行确认、驳回、修订、评论和指派。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支持保存查询、收藏证据、创建专题集合，并将集合直接作为报告输入。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所有导出文件应带有项目、生成时间、数据截止时间、敏感等级和来源说明。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FR-08 管理、评估与审计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提供组织、用户、角色、项目空间、数据域和导出权限管理，执行最小权限原则。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记录登录、配置、采集、查看、修改、生成、导出、删除和模型调用等审计事件。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管理模型供应商、模型版本、提示词模板、费用配额、降级策略和敏感数据路由。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提供离线评测集和线上反馈面板，跟踪准确率、引用完整度、拒答率、延迟和成本。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支持按数据类别执行保留、归档、删除和法律保全策略。</w:t>
      </w: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数据与 AI 要求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关键数据对象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4  MVP 核心对象及最小字段。</w:t>
      </w:r>
    </w:p>
    <w:tbl>
      <w:tblPr>
        <w:tblW w:w="9360" w:type="dxa"/>
        <w:jc w:val="left"/>
        <w:tblInd w:w="120" w:type="dxa"/>
        <w:tblLayout w:type="fixed"/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说明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最小字段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Competitor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竞品企业/品牌主档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ID、标准名、别名、地区、行业、状态、关联产品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Product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产品与版本主档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ID、所属竞品、名称、版本、类别、发布日期、状态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Source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数据来源与授权记录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类型、入口、主体、授权状态、频率、地区、保留策略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Document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采集材料及版本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来源、URL、标题、发布时间、采集时间、语言、指纹、快照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Evidence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可引用证据片段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文档、位置、原文片段、字段、置信度、有效性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Event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竞品变化事件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类型、主体、对象、发生时间、影响等级、证据、状态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Insight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分析结论或推断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类别、文本、事实/推断、置信度、证据集、审核状态</w:t>
            </w:r>
          </w:p>
        </w:tc>
      </w:tr>
      <w:tr>
        <w:tc>
          <w:tcPr>
            <w:tcW w:type="dxa" w:w="1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Report</w:t>
            </w:r>
          </w:p>
        </w:tc>
        <w:tc>
          <w:tcPr>
            <w:tcW w:type="dxa" w:w="26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交付物及版本</w:t>
            </w:r>
          </w:p>
        </w:tc>
        <w:tc>
          <w:tcPr>
            <w:tcW w:type="dxa" w:w="5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模板、范围、截止时间、版本、状态、审批、读者、导出记录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证据与可追溯性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来源层：保存规范化 URL/接口、来源主体、采集时间、发布时间、授权状态和内容哈希。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证据层：保留足够理解上下文的片段及其在原文中的位置；不得仅保存模型改写后的文本。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结论层：维护“结论—证据”多对多关系，记录模型/规则版本、生成时间、置信度和审核状态。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展示层：点击引用可打开证据侧栏；来源失效或授权变更时，关联结论显示风险提示。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大模型使用策略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仅把经权限过滤、与任务相关的最小数据发送给模型；敏感数据按策略使用私有部署或禁止外发。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信息抽取优先采用结构化输出和字段校验；失败时重试或降级，不把非结构化答案直接入主数据。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报告生成采用检索增强方式，仅允许引用证据集合；模型应明确区分事实、推断、建议和未知。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对模型版本、提示词、温度、上下文、输入证据 ID、输出和安全过滤结果进行可审计记录。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建立黄金测试集，覆盖多语言、冲突来源、时间错误、价格单位、否定表达和网页结构变化。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质量门禁与人工复核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5  建议的分级处理策略。</w:t>
      </w:r>
    </w:p>
    <w:tbl>
      <w:tblPr>
        <w:tblW w:w="9360" w:type="dxa"/>
        <w:jc w:val="left"/>
        <w:tblInd w:w="120" w:type="dxa"/>
        <w:tblLayout w:type="fixed"/>
      </w:tblPr>
      <w:tblGrid>
        <w:gridCol w:w="2900"/>
        <w:gridCol w:w="4200"/>
        <w:gridCol w:w="2260"/>
      </w:tblGrid>
      <w:tr>
        <w:trPr>
          <w:tblHeader/>
        </w:trPr>
        <w:tc>
          <w:tcPr>
            <w:tcW w:type="dxa" w:w="2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条件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系统动作</w:t>
            </w:r>
          </w:p>
        </w:tc>
        <w:tc>
          <w:tcPr>
            <w:tcW w:type="dxa" w:w="2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是否进入报告</w:t>
            </w:r>
          </w:p>
        </w:tc>
      </w:tr>
      <w:tr>
        <w:tc>
          <w:tcPr>
            <w:tcW w:type="dxa" w:w="2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来源有效、证据一致、置信度达到阈值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自动通过，保留完整追溯记录</w:t>
            </w:r>
          </w:p>
        </w:tc>
        <w:tc>
          <w:tcPr>
            <w:tcW w:type="dxa" w:w="2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</w:tr>
      <w:tr>
        <w:tc>
          <w:tcPr>
            <w:tcW w:type="dxa" w:w="2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置信度偏低或关键字段缺失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进入待复核；提醒补充来源或修订字段</w:t>
            </w:r>
          </w:p>
        </w:tc>
        <w:tc>
          <w:tcPr>
            <w:tcW w:type="dxa" w:w="2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否，复核后可进入</w:t>
            </w:r>
          </w:p>
        </w:tc>
      </w:tr>
      <w:tr>
        <w:tc>
          <w:tcPr>
            <w:tcW w:type="dxa" w:w="2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多个可信来源相互冲突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并列展示冲突值和时间，交由分析师裁决</w:t>
            </w:r>
          </w:p>
        </w:tc>
        <w:tc>
          <w:tcPr>
            <w:tcW w:type="dxa" w:w="2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可进入，但必须标冲突</w:t>
            </w:r>
          </w:p>
        </w:tc>
      </w:tr>
      <w:tr>
        <w:tc>
          <w:tcPr>
            <w:tcW w:type="dxa" w:w="2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来源授权失效、内容删除或超过保留期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冻结引用并标记风险，按策略归档/删除</w:t>
            </w:r>
          </w:p>
        </w:tc>
        <w:tc>
          <w:tcPr>
            <w:tcW w:type="dxa" w:w="2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</w:tr>
      <w:tr>
        <w:tc>
          <w:tcPr>
            <w:tcW w:type="dxa" w:w="2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涉及个人信息、敏感词或高风险建议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安全策略拦截并升级给授权角色</w:t>
            </w:r>
          </w:p>
        </w:tc>
        <w:tc>
          <w:tcPr>
            <w:tcW w:type="dxa" w:w="2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否，审批后决定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非功能与合规要求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非功能指标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6  MVP 服务等级建议值。</w:t>
      </w:r>
    </w:p>
    <w:tbl>
      <w:tblPr>
        <w:tblW w:w="9360" w:type="dxa"/>
        <w:jc w:val="left"/>
        <w:tblInd w:w="120" w:type="dxa"/>
        <w:tblLayout w:type="fixed"/>
      </w:tblPr>
      <w:tblGrid>
        <w:gridCol w:w="1550"/>
        <w:gridCol w:w="5000"/>
        <w:gridCol w:w="2810"/>
      </w:tblGrid>
      <w:tr>
        <w:trPr>
          <w:tblHeader/>
        </w:trP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要求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MVP 建议值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可用性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核心查询、项目与报告服务月度可用性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≥ 99.5%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性能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常用检索结果首屏响应（P95，不含导出）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≤ 3 秒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生成时延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单项目日报从数据截止到可阅读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≤ 15 分钟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容量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单项目每日新增文档的可扩展基线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≥ 10,000 条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恢复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核心元数据 RPO / RTO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≤ 15 分钟 / ≤ 4 小时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可观测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采集、处理、模型、生成链路可定位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全链路任务 ID 与关键指标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成本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按项目/来源/模型统计采集与推理费用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可配置预算与 80%/100% 告警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兼容</w:t>
            </w:r>
          </w:p>
        </w:tc>
        <w:tc>
          <w:tcPr>
            <w:tcW w:type="dxa" w:w="5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管理端与分析端浏览器</w:t>
            </w:r>
          </w:p>
        </w:tc>
        <w:tc>
          <w:tcPr>
            <w:tcW w:type="dxa" w:w="28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当前主流 Chrome / Edge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安全、隐私与版权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接入企业统一身份认证；支持多因素认证、单点登录、会话超时和账号生命周期管理。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项目、数据域和操作级 RBAC；高敏导出、来源凭据与管理操作需额外授权。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传输与存储加密；密钥集中托管并轮换；生产数据不得进入测试环境。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按照最小化原则处理个人信息；支持发现、屏蔽、删除、保留和访问请求流程。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尊重 robots、来源使用条款、API 协议、数据库许可和版权限制；只保留业务必需内容与证据片段。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对导出、共享、模型外发和跨境传输设置策略门禁；具体要求由法务/安全按部署地区确认。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异常与降级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采集器异常时保留上一次成功数据并标记新鲜度，不把“未采到”解释为“没有变化”。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大模型不可用时，继续完成采集、清洗与规则型变化检测；报告显示延迟并在恢复后补生成。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某来源大量返回异常内容时自动熔断，避免污染主数据和产生异常费用。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报告生成部分失败时交付可用章节，并明确缺失范围、失败原因和补偿状态。</w:t>
      </w: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交互与信息架构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一级导航建议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工作台：关注项目、最新变化、重大预警、待复核和报告交付状态。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竞品与产品：主档、时间线、版本、对比矩阵、证据和关联主题。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情报库：全文检索、筛选、专题集合、原始材料和结构化事实。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分析与报告：模板、生成任务、在线报告、版本、审批、订阅和导出。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数据运营：来源、任务、异常、质量、实体合并和字段修订。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系统管理：组织、权限、集成、模型、配额、合规策略和审计。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关键交互规则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所有分析卡片同时显示数据截止时间、样本量、置信度和来源数量。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事实、推断、建议使用清晰标签，不仅依赖颜色区分；风险状态提供文字说明。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对比维度缺失时显示“暂无可信数据”，不得用空值自动推断竞争劣势。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高管摘要默认简洁，但任何结论均可逐层下钻到洞察、事件、证据和原文。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批量操作、删除、覆盖实体和高敏导出需二次确认，并明确影响范围。</w:t>
      </w: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验收与上线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MVP 验收场景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7  业务验收以端到端场景为主，不以单一页面完成度替代。</w:t>
      </w:r>
    </w:p>
    <w:tbl>
      <w:tblPr>
        <w:tblW w:w="9360" w:type="dxa"/>
        <w:jc w:val="left"/>
        <w:tblInd w:w="120" w:type="dxa"/>
        <w:tblLayout w:type="fixed"/>
      </w:tblPr>
      <w:tblGrid>
        <w:gridCol w:w="1050"/>
        <w:gridCol w:w="3000"/>
        <w:gridCol w:w="5310"/>
      </w:tblGrid>
      <w:tr>
        <w:trPr>
          <w:tblHeader/>
        </w:trP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ID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场景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通过标准</w:t>
            </w:r>
          </w:p>
        </w:tc>
      </w:tr>
      <w:t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UAT-01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建立包含 3 家竞品、10 个来源的项目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来源完成授权检查并按计划采集；项目首页正确显示覆盖和异常</w:t>
            </w:r>
          </w:p>
        </w:tc>
      </w:tr>
      <w:t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UAT-02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竞品官网发布新版本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系统在设定窗口发现变化，生成事件、字段差异和可点击证据</w:t>
            </w:r>
          </w:p>
        </w:tc>
      </w:tr>
      <w:t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UAT-03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两条新闻描述同一事件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近似重复被归并；保留两个来源，并在洞察中合并引用</w:t>
            </w:r>
          </w:p>
        </w:tc>
      </w:tr>
      <w:t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UAT-04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价格信息在不同来源冲突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系统不静默覆盖，显示冲突与时间，进入人工复核</w:t>
            </w:r>
          </w:p>
        </w:tc>
      </w:tr>
      <w:t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UAT-05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生成每日竞品晨报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按时生成，事实均有引用，包含关键变化、影响与建议；可导出 Word/PDF</w:t>
            </w:r>
          </w:p>
        </w:tc>
      </w:tr>
      <w:t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UAT-06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关键来源连续失败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达到阈值后告警、显示错误与重试记录，恢复后可补采</w:t>
            </w:r>
          </w:p>
        </w:tc>
      </w:tr>
      <w:t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UAT-07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低权限用户尝试访问受限项目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页面、搜索、接口和导出均拒绝；审计日志记录事件</w:t>
            </w:r>
          </w:p>
        </w:tc>
      </w:tr>
      <w:tr>
        <w:tc>
          <w:tcPr>
            <w:tcW w:type="dxa" w:w="10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UAT-08</w:t>
            </w:r>
          </w:p>
        </w:tc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模型不可用或超出预算</w:t>
            </w:r>
          </w:p>
        </w:tc>
        <w:tc>
          <w:tcPr>
            <w:tcW w:type="dxa" w:w="53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采集与结构化流程继续；报告任务按策略降级或延迟并提示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上线门禁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P0 功能与 UAT 场景全部通过，阻断级缺陷清零，关键缺陷有明确处置计划。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试点数据源的授权、条款、频率、保留期和责任人已登记并由合规确认。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黄金测试集达到约定质量门槛；报告事实引用完整率为 100%。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完成权限、渗透、依赖、日志脱敏、备份恢复和灾难演练检查。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运行手册、告警责任人、故障升级、模型降级和成本上限已配置。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分阶段计划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8  建议节奏；实际周期取决于数据源数量、授权难度与现有平台复用程度。</w:t>
      </w:r>
    </w:p>
    <w:tbl>
      <w:tblPr>
        <w:tblW w:w="9360" w:type="dxa"/>
        <w:jc w:val="left"/>
        <w:tblInd w:w="120" w:type="dxa"/>
        <w:tblLayout w:type="fixed"/>
      </w:tblPr>
      <w:tblGrid>
        <w:gridCol w:w="1650"/>
        <w:gridCol w:w="1450"/>
        <w:gridCol w:w="3800"/>
        <w:gridCol w:w="2460"/>
      </w:tblGrid>
      <w:tr>
        <w:trPr>
          <w:tblHeader/>
        </w:trPr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建议周期</w:t>
            </w:r>
          </w:p>
        </w:tc>
        <w:tc>
          <w:tcPr>
            <w:tcW w:type="dxa" w:w="3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主要产出</w:t>
            </w:r>
          </w:p>
        </w:tc>
        <w:tc>
          <w:tcPr>
            <w:tcW w:type="dxa" w:w="24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退出条件</w:t>
            </w:r>
          </w:p>
        </w:tc>
      </w:tr>
      <w:tr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0. 发现与验证</w:t>
            </w:r>
          </w:p>
        </w:tc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2–3 周</w:t>
            </w:r>
          </w:p>
        </w:tc>
        <w:tc>
          <w:tcPr>
            <w:tcW w:type="dxa" w:w="3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试点行业、竞品清单、来源合规清单、标注集、指标基线</w:t>
            </w:r>
          </w:p>
        </w:tc>
        <w:tc>
          <w:tcPr>
            <w:tcW w:type="dxa" w:w="24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关键来源可达；20–30 个代表性场景明确</w:t>
            </w:r>
          </w:p>
        </w:tc>
      </w:tr>
      <w:tr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1. MVP 建设</w:t>
            </w:r>
          </w:p>
        </w:tc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8–12 周</w:t>
            </w:r>
          </w:p>
        </w:tc>
        <w:tc>
          <w:tcPr>
            <w:tcW w:type="dxa" w:w="3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P0 采集、处理、对比、日报、检索、权限和审计</w:t>
            </w:r>
          </w:p>
        </w:tc>
        <w:tc>
          <w:tcPr>
            <w:tcW w:type="dxa" w:w="24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UAT 通过；试点用户可日常使用</w:t>
            </w:r>
          </w:p>
        </w:tc>
      </w:tr>
      <w:tr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2. 试点运营</w:t>
            </w:r>
          </w:p>
        </w:tc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4–6 周</w:t>
            </w:r>
          </w:p>
        </w:tc>
        <w:tc>
          <w:tcPr>
            <w:tcW w:type="dxa" w:w="3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质量运营、提示词/规则优化、成本与稳定性调优</w:t>
            </w:r>
          </w:p>
        </w:tc>
        <w:tc>
          <w:tcPr>
            <w:tcW w:type="dxa" w:w="24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达到核心指标；形成运维与复核机制</w:t>
            </w:r>
          </w:p>
        </w:tc>
      </w:tr>
      <w:tr>
        <w:tc>
          <w:tcPr>
            <w:tcW w:type="dxa" w:w="16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3. 规模化</w:t>
            </w:r>
          </w:p>
        </w:tc>
        <w:tc>
          <w:tcPr>
            <w:tcW w:type="dxa" w:w="14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持续</w:t>
            </w:r>
          </w:p>
        </w:tc>
        <w:tc>
          <w:tcPr>
            <w:tcW w:type="dxa" w:w="38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更多数据源、多语种、高级分析、组织级推广</w:t>
            </w:r>
          </w:p>
        </w:tc>
        <w:tc>
          <w:tcPr>
            <w:tcW w:type="dxa" w:w="24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按数据域和地区逐批放量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依赖、风险与待确认事项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关键依赖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试点业务团队提供竞品范围、分析口径、报告样例、验收集和复核人。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法务/安全确定数据源授权、存储地区、保留、模型外发与导出策略。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平台团队提供身份认证、对象存储、搜索、任务队列、监控、密钥与通知能力。</w:t>
      </w:r>
    </w:p>
    <w:p>
      <w:pPr>
        <w:pStyle w:val="PRDBullet"/>
        <w:keepLines/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模型与向量服务具备企业协议、容量、日志控制、成本监控与降级方案。</w:t>
      </w: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主要风险与缓解</w:t>
      </w:r>
    </w:p>
    <w:p>
      <w:pPr>
        <w:keepNext/>
        <w:keepLines/>
        <w:spacing w:before="80" w:after="80"/>
      </w:pPr>
      <w:r>
        <w:rPr>
          <w:rFonts w:ascii="Calibri" w:hAnsi="Calibri" w:eastAsia="Microsoft YaHei"/>
          <w:i/>
          <w:color w:val="667085"/>
          <w:sz w:val="18"/>
        </w:rPr>
        <w:t>表 9  优先在试点阶段验证高风险假设。</w:t>
      </w:r>
    </w:p>
    <w:tbl>
      <w:tblPr>
        <w:tblW w:w="9360" w:type="dxa"/>
        <w:jc w:val="left"/>
        <w:tblInd w:w="120" w:type="dxa"/>
        <w:tblLayout w:type="fixed"/>
      </w:tblPr>
      <w:tblGrid>
        <w:gridCol w:w="2550"/>
        <w:gridCol w:w="2400"/>
        <w:gridCol w:w="4410"/>
      </w:tblGrid>
      <w:tr>
        <w:trPr>
          <w:tblHeader/>
        </w:trPr>
        <w:tc>
          <w:tcPr>
            <w:tcW w:type="dxa" w:w="2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2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影响</w:t>
            </w:r>
          </w:p>
        </w:tc>
        <w:tc>
          <w:tcPr>
            <w:tcW w:type="dxa" w:w="44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shd w:fill="F2F4F7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缓解措施</w:t>
            </w:r>
          </w:p>
        </w:tc>
      </w:tr>
      <w:tr>
        <w:tc>
          <w:tcPr>
            <w:tcW w:type="dxa" w:w="2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网页结构频繁变化</w:t>
            </w:r>
          </w:p>
        </w:tc>
        <w:tc>
          <w:tcPr>
            <w:tcW w:type="dxa" w:w="2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采集失败或字段错位</w:t>
            </w:r>
          </w:p>
        </w:tc>
        <w:tc>
          <w:tcPr>
            <w:tcW w:type="dxa" w:w="44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连接器版本化、结构变化检测、回归样本、快速回滚与人工补采</w:t>
            </w:r>
          </w:p>
        </w:tc>
      </w:tr>
      <w:tr>
        <w:tc>
          <w:tcPr>
            <w:tcW w:type="dxa" w:w="2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数据许可或使用条款不明确</w:t>
            </w:r>
          </w:p>
        </w:tc>
        <w:tc>
          <w:tcPr>
            <w:tcW w:type="dxa" w:w="2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法律与声誉风险</w:t>
            </w:r>
          </w:p>
        </w:tc>
        <w:tc>
          <w:tcPr>
            <w:tcW w:type="dxa" w:w="44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来源登记与审批；优先 API/RSS；到期自动禁用；限制原文保存</w:t>
            </w:r>
          </w:p>
        </w:tc>
      </w:tr>
      <w:tr>
        <w:tc>
          <w:tcPr>
            <w:tcW w:type="dxa" w:w="2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模型幻觉或错误归因</w:t>
            </w:r>
          </w:p>
        </w:tc>
        <w:tc>
          <w:tcPr>
            <w:tcW w:type="dxa" w:w="2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误导业务判断</w:t>
            </w:r>
          </w:p>
        </w:tc>
        <w:tc>
          <w:tcPr>
            <w:tcW w:type="dxa" w:w="44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证据约束、结构校验、置信度门禁、冲突展示、人工复核与评测集</w:t>
            </w:r>
          </w:p>
        </w:tc>
      </w:tr>
      <w:tr>
        <w:tc>
          <w:tcPr>
            <w:tcW w:type="dxa" w:w="2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来源偏差与样本不足</w:t>
            </w:r>
          </w:p>
        </w:tc>
        <w:tc>
          <w:tcPr>
            <w:tcW w:type="dxa" w:w="2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趋势失真</w:t>
            </w:r>
          </w:p>
        </w:tc>
        <w:tc>
          <w:tcPr>
            <w:tcW w:type="dxa" w:w="44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展示覆盖和样本量；多源交叉验证；禁止用缺失值推断</w:t>
            </w:r>
          </w:p>
        </w:tc>
      </w:tr>
      <w:tr>
        <w:tc>
          <w:tcPr>
            <w:tcW w:type="dxa" w:w="2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成本随采集量快速增长</w:t>
            </w:r>
          </w:p>
        </w:tc>
        <w:tc>
          <w:tcPr>
            <w:tcW w:type="dxa" w:w="2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预算不可控</w:t>
            </w:r>
          </w:p>
        </w:tc>
        <w:tc>
          <w:tcPr>
            <w:tcW w:type="dxa" w:w="44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增量处理、缓存、分级模型、项目配额、批处理与预算告警</w:t>
            </w:r>
          </w:p>
        </w:tc>
      </w:tr>
      <w:tr>
        <w:tc>
          <w:tcPr>
            <w:tcW w:type="dxa" w:w="2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自动化结果无人使用</w:t>
            </w:r>
          </w:p>
        </w:tc>
        <w:tc>
          <w:tcPr>
            <w:tcW w:type="dxa" w:w="2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投入产出不足</w:t>
            </w:r>
          </w:p>
        </w:tc>
        <w:tc>
          <w:tcPr>
            <w:tcW w:type="dxa" w:w="441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8"/>
              </w:rPr>
              <w:t>从固定晨报和 1–2 个高价值场景切入；跟踪阅读、引用与反馈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评审待确认</w:t>
      </w:r>
    </w:p>
    <w:tbl>
      <w:tblPr>
        <w:tblW w:w="9360" w:type="dxa"/>
        <w:jc w:val="left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shd w:fill="E8EEF5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评审建议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先用一个行业、3–5 家竞品和 10–20 个高质量来源开展 4–6 周试点。优先验证数据授权、抽取准确率、日报采纳率与人工节省时间，再决定扩展范围。</w:t>
            </w:r>
          </w:p>
        </w:tc>
      </w:tr>
    </w:tbl>
    <w:p>
      <w:pPr>
        <w:spacing w:after="40"/>
      </w:pPr>
    </w:p>
    <w:p>
      <w:pPr>
        <w:pStyle w:val="PRDNumbered"/>
        <w:keepLines/>
        <w:numPr>
          <w:ilvl w:val="0"/>
          <w:numId w:val="22"/>
        </w:numPr>
        <w:spacing w:after="80" w:line="264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首个试点行业、地区、语言，以及 3–5 家关键竞品分别是什么？</w:t>
      </w:r>
    </w:p>
    <w:p>
      <w:pPr>
        <w:pStyle w:val="PRDNumbered"/>
        <w:keepLines/>
        <w:numPr>
          <w:ilvl w:val="0"/>
          <w:numId w:val="22"/>
        </w:numPr>
        <w:spacing w:after="80" w:line="264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必接数据源及其授权方式、访问频率、历史回溯范围和保留限制是什么？</w:t>
      </w:r>
    </w:p>
    <w:p>
      <w:pPr>
        <w:pStyle w:val="PRDNumbered"/>
        <w:keepLines/>
        <w:numPr>
          <w:ilvl w:val="0"/>
          <w:numId w:val="22"/>
        </w:numPr>
        <w:spacing w:after="80" w:line="264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日报、周报和专题报告的现有样例、固定章节、收件人和审批流程是什么？业务团队如何定义有效洞察与建议采纳，由谁负责最终复核？</w:t>
      </w:r>
    </w:p>
    <w:p>
      <w:pPr>
        <w:pStyle w:val="PRDNumbered"/>
        <w:keepLines/>
        <w:numPr>
          <w:ilvl w:val="0"/>
          <w:numId w:val="22"/>
        </w:numPr>
        <w:spacing w:after="80" w:line="264" w:lineRule="auto"/>
        <w:ind w:left="720" w:hanging="360"/>
      </w:pPr>
      <w:r>
        <w:rPr>
          <w:rFonts w:ascii="Calibri" w:hAnsi="Calibri" w:eastAsia="Microsoft YaHei"/>
          <w:color w:val="202124"/>
          <w:sz w:val="22"/>
        </w:rPr>
        <w:t>哪些字段属于核心字段，允许多大的延迟、缺失率和错误率？模型外发限制、预计项目数、每日数据量、并发用户数和预算上限分别是多少？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w="9360" w:type="dxa"/>
      <w:jc w:val="left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3120"/>
      <w:gridCol w:w="3120"/>
      <w:gridCol w:w="3120"/>
    </w:tblGrid>
    <w:tr>
      <w:tc>
        <w:tcPr>
          <w:tcW w:type="dxa" w:w="3120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Calibri" w:hAnsi="Calibri" w:eastAsia="Microsoft YaHei"/>
              <w:color w:val="667085"/>
              <w:sz w:val="16"/>
            </w:rPr>
            <w:t>内部评审</w:t>
          </w:r>
        </w:p>
      </w:tc>
      <w:tc>
        <w:tcPr>
          <w:tcW w:type="dxa" w:w="3120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hAnsi="Calibri" w:eastAsia="Microsoft YaHei"/>
              <w:color w:val="667085"/>
              <w:sz w:val="16"/>
            </w:rPr>
            <w:t>V1.0 · 2026-07-31</w:t>
          </w:r>
        </w:p>
      </w:tc>
      <w:tc>
        <w:tcPr>
          <w:tcW w:type="dxa" w:w="3120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color w:val="667085"/>
              <w:sz w:val="16"/>
            </w:rPr>
            <w:t xml:space="preserve">第 </w:t>
          </w:r>
          <w:r>
            <w:rPr>
              <w:rFonts w:ascii="Calibri" w:hAnsi="Calibri" w:eastAsia="Microsoft YaHei"/>
              <w:color w:val="667085"/>
              <w:sz w:val="16"/>
            </w:rPr>
            <w:fldChar w:fldCharType="begin"/>
          </w:r>
          <w:r>
            <w:rPr>
              <w:rFonts w:ascii="Calibri" w:hAnsi="Calibri" w:eastAsia="Microsoft YaHei"/>
              <w:color w:val="667085"/>
              <w:sz w:val="16"/>
            </w:rPr>
            <w:instrText xml:space="preserve"> PAGE </w:instrText>
          </w:r>
          <w:r>
            <w:rPr>
              <w:rFonts w:ascii="Calibri" w:hAnsi="Calibri" w:eastAsia="Microsoft YaHei"/>
              <w:color w:val="667085"/>
              <w:sz w:val="16"/>
            </w:rPr>
            <w:fldChar w:fldCharType="separate"/>
          </w:r>
          <w:r>
            <w:rPr>
              <w:rFonts w:ascii="Calibri" w:hAnsi="Calibri" w:eastAsia="Microsoft YaHei"/>
              <w:color w:val="667085"/>
              <w:sz w:val="16"/>
            </w:rPr>
            <w:t>1</w:t>
          </w:r>
          <w:r>
            <w:rPr>
              <w:rFonts w:ascii="Calibri" w:hAnsi="Calibri" w:eastAsia="Microsoft YaHei"/>
              <w:color w:val="667085"/>
              <w:sz w:val="16"/>
            </w:rPr>
            <w:fldChar w:fldCharType="end"/>
          </w:r>
          <w:r>
            <w:rPr>
              <w:rFonts w:ascii="Calibri" w:hAnsi="Calibri" w:eastAsia="Microsoft YaHei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AGENT 竞品分析系统  | 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spacing w:after="160" w:line="280" w:lineRule="auto"/>
        <w:ind w:left="1080" w:hanging="360"/>
      </w:pPr>
      <w:rPr>
        <w:rFonts w:ascii="Arial" w:hAnsi="Arial"/>
      </w:rPr>
    </w:lvl>
    <w:lvl w:ilvl="2">
      <w:start w:val="1"/>
      <w:numFmt w:val="bullet"/>
      <w:lvlText w:val="•"/>
      <w:lvlJc w:val="left"/>
      <w:pPr>
        <w:tabs>
          <w:tab w:val="num" w:pos="1440"/>
        </w:tabs>
        <w:spacing w:after="160" w:line="280" w:lineRule="auto"/>
        <w:ind w:left="1440" w:hanging="360"/>
      </w:pPr>
      <w:rPr>
        <w:rFonts w:ascii="Arial" w:hAnsi="Arial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160" w:line="280" w:lineRule="auto"/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spacing w:after="160" w:line="280" w:lineRule="auto"/>
        <w:ind w:left="144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160" w:line="280" w:lineRule="auto"/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spacing w:after="160" w:line="280" w:lineRule="auto"/>
        <w:ind w:left="14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">
    <w:abstractNumId w:val="10"/>
  </w:num>
  <w:num w:numId="21">
    <w:abstractNumId w:val="1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Bullet">
    <w:name w:val="PRD Bullet"/>
    <w:basedOn w:val="Normal"/>
    <w:pPr>
      <w:spacing w:after="160" w:line="280" w:lineRule="auto"/>
    </w:pPr>
    <w:rPr>
      <w:rFonts w:ascii="Calibri" w:hAnsi="Calibri" w:eastAsia="Microsoft YaHei"/>
      <w:sz w:val="22"/>
    </w:rPr>
  </w:style>
  <w:style w:type="paragraph" w:customStyle="1" w:styleId="PRDNumbered">
    <w:name w:val="PRD Numbered"/>
    <w:basedOn w:val="Normal"/>
    <w:pPr>
      <w:spacing w:after="160" w:line="280" w:lineRule="auto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竞品分析系统产品需求文档</dc:title>
  <dc:subject>竞品情报自动采集、分析与报告生成平台 PRD</dc:subject>
  <dc:creator>产品团队</dc:creator>
  <cp:keywords>Agent, 竞品分析, 情报采集, 大模型, PRD</cp:keywords>
  <dc:description>基于用户提供的概念说明形成的 V1.0 需求初稿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