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Microsoft YaHei"/>
          <w:b/>
          <w:sz w:val="40"/>
        </w:rPr>
        <w:t>内部凭证财务系统功能汇总</w:t>
      </w:r>
    </w:p>
    <w:p>
      <w:pPr>
        <w:jc w:val="center"/>
      </w:pPr>
      <w:r>
        <w:rPr>
          <w:color w:val="555555"/>
          <w:sz w:val="20"/>
        </w:rPr>
        <w:t>最终整合验收版 | 2026-07-03</w:t>
      </w:r>
    </w:p>
    <w:p/>
    <w:p>
      <w:pPr>
        <w:pStyle w:val="Heading1"/>
      </w:pPr>
      <w:r>
        <w:t>一、系统定位</w:t>
      </w:r>
    </w:p>
    <w:p>
      <w:r>
        <w:t>本系统以研究院内部凭证流转为核心，覆盖申请、审批、付款、复核、预算扣减、资产台账、收入登记、收支总台账和安全审计，适合作为课程项目和演示型业务系统。</w:t>
      </w:r>
    </w:p>
    <w:p>
      <w:pPr>
        <w:pStyle w:val="Heading1"/>
      </w:pPr>
      <w:r>
        <w:t>二、功能模块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vAlign w:val="center"/>
            <w:shd w:fill="F2F4F7"/>
          </w:tcPr>
          <w:p>
            <w:r/>
            <w:r>
              <w:rPr>
                <w:b/>
                <w:sz w:val="20"/>
              </w:rPr>
              <w:t>模块</w:t>
            </w:r>
          </w:p>
        </w:tc>
        <w:tc>
          <w:tcPr>
            <w:tcW w:type="dxa" w:w="6480"/>
            <w:vAlign w:val="center"/>
            <w:shd w:fill="F2F4F7"/>
          </w:tcPr>
          <w:p>
            <w:r/>
            <w:r>
              <w:rPr>
                <w:b/>
                <w:sz w:val="20"/>
              </w:rPr>
              <w:t>功能说明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20"/>
              </w:rPr>
              <w:t>首页仪表盘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b w:val="0"/>
                <w:sz w:val="20"/>
              </w:rPr>
              <w:t>财务/领导可见，部门负责人只看本部门；六张统计卡片、双图表、最近业务单据和待办事项组成三层布局。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20"/>
              </w:rPr>
              <w:t>报销状态图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b w:val="0"/>
                <w:sz w:val="20"/>
              </w:rPr>
              <w:t>外部引导线显示状态名称、数量和占比，中心显示报销单总数，图例固定在底部并自动避让标签。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20"/>
              </w:rPr>
              <w:t>首页待办事项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b w:val="0"/>
                <w:sz w:val="20"/>
              </w:rPr>
              <w:t>调用统一工作台接口，显示真实总数和最近 5 条待办，包含业务、编号、标题、申请人、金额、节点和等待时间。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20"/>
              </w:rPr>
              <w:t>统一后台界面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b w:val="0"/>
                <w:sz w:val="20"/>
              </w:rPr>
              <w:t>固定深色侧边栏、统一顶部栏、独立路由和响应式布局；菜单按六类业务分组，空分组按角色权限隐藏。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20"/>
              </w:rPr>
              <w:t>我的申请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b w:val="0"/>
                <w:sz w:val="20"/>
              </w:rPr>
              <w:t>由后端统一工作台返回本人创建的报销、申购、劳务和借款。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20"/>
              </w:rPr>
              <w:t>我的待办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b w:val="0"/>
                <w:sz w:val="20"/>
              </w:rPr>
              <w:t>按当前角色、审批节点和部门范围返回真实待处理任务。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20"/>
              </w:rPr>
              <w:t>已办事项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b w:val="0"/>
                <w:sz w:val="20"/>
              </w:rPr>
              <w:t>根据审批记录返回当前用户实际审批、付款或复核过的事项。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20"/>
              </w:rPr>
              <w:t>报销管理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b w:val="0"/>
                <w:sz w:val="20"/>
              </w:rPr>
              <w:t>审批编号 BX+日期+序号；提交时发票和其他凭证必传；OCR 金额校验。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20"/>
              </w:rPr>
              <w:t>申购管理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b w:val="0"/>
                <w:sz w:val="20"/>
              </w:rPr>
              <w:t>编号 CG+日期+序号；多明细；总额大于 5 万元时院务委员会材料必传。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20"/>
              </w:rPr>
              <w:t>资产出入库/验收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b w:val="0"/>
                <w:sz w:val="20"/>
              </w:rPr>
              <w:t>编号 LY/ZC；自动记录办公室验收人，由办公室选择实际使用人办理领用。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20"/>
              </w:rPr>
              <w:t>劳务/酬金发放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b w:val="0"/>
                <w:sz w:val="20"/>
              </w:rPr>
              <w:t>编号 LW+日期+序号；多人领款；金额大写；付款与复核。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20"/>
              </w:rPr>
              <w:t>暂借款/预付款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b w:val="0"/>
                <w:sz w:val="20"/>
              </w:rPr>
              <w:t>编号 YF+日期+序号；待还款、部分冲账、已冲账、逾期提醒。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20"/>
              </w:rPr>
              <w:t>收入登记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b w:val="0"/>
                <w:sz w:val="20"/>
              </w:rPr>
              <w:t>记录收款日期、凭证号、缴款方、收入分类、到账账户和发票附件。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20"/>
              </w:rPr>
              <w:t>财务总台账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b w:val="0"/>
                <w:sz w:val="20"/>
              </w:rPr>
              <w:t>汇总收入、报销、劳务、申购、借款支出，支持筛选和 Excel 导出。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20"/>
              </w:rPr>
              <w:t>操作日志/安全审计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b w:val="0"/>
                <w:sz w:val="20"/>
              </w:rPr>
              <w:t>记录登录、审批、导出、用户管理、附件上传等关键操作。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20"/>
              </w:rPr>
              <w:t>登录与附件安全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b w:val="0"/>
                <w:sz w:val="20"/>
              </w:rPr>
              <w:t>BCrypt 密码、限时 token、密码修改后会话失效、受权限保护的附件下载。</w:t>
            </w:r>
          </w:p>
        </w:tc>
      </w:tr>
    </w:tbl>
    <w:p/>
    <w:p>
      <w:pPr>
        <w:pStyle w:val="Heading1"/>
      </w:pPr>
      <w:r>
        <w:t>三、角色权限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160"/>
            <w:vAlign w:val="center"/>
            <w:shd w:fill="F2F4F7"/>
          </w:tcPr>
          <w:p>
            <w:r/>
            <w:r>
              <w:rPr>
                <w:b/>
                <w:sz w:val="20"/>
              </w:rPr>
              <w:t>角色代码</w:t>
            </w:r>
          </w:p>
        </w:tc>
        <w:tc>
          <w:tcPr>
            <w:tcW w:type="dxa" w:w="1872"/>
            <w:vAlign w:val="center"/>
            <w:shd w:fill="F2F4F7"/>
          </w:tcPr>
          <w:p>
            <w:r/>
            <w:r>
              <w:rPr>
                <w:b/>
                <w:sz w:val="20"/>
              </w:rPr>
              <w:t>角色名称</w:t>
            </w:r>
          </w:p>
        </w:tc>
        <w:tc>
          <w:tcPr>
            <w:tcW w:type="dxa" w:w="5184"/>
            <w:vAlign w:val="center"/>
            <w:shd w:fill="F2F4F7"/>
          </w:tcPr>
          <w:p>
            <w:r/>
            <w:r>
              <w:rPr>
                <w:b/>
                <w:sz w:val="20"/>
              </w:rPr>
              <w:t>权限说明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20"/>
              </w:rPr>
              <w:t>EMPLOYEE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b w:val="0"/>
                <w:sz w:val="20"/>
              </w:rPr>
              <w:t>员工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20"/>
              </w:rPr>
              <w:t>提交报销、申购、劳务、借款等申请，查看自己的申请。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20"/>
              </w:rPr>
              <w:t>DEPARTMENT_MANAGER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b w:val="0"/>
                <w:sz w:val="20"/>
              </w:rPr>
              <w:t>部门负责人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20"/>
              </w:rPr>
              <w:t>查看本部门数据，处理本部门待审批事项。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20"/>
              </w:rPr>
              <w:t>FINANCE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b w:val="0"/>
                <w:sz w:val="20"/>
              </w:rPr>
              <w:t>财务人员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20"/>
              </w:rPr>
              <w:t>财务初审、复核、预算、收入登记、总台账和导出。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20"/>
              </w:rPr>
              <w:t>OFFICE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b w:val="0"/>
                <w:sz w:val="20"/>
              </w:rPr>
              <w:t>办公室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20"/>
              </w:rPr>
              <w:t>申购相关协作，资产验收入库和资产台账维护。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20"/>
              </w:rPr>
              <w:t>EXECUTIVE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b w:val="0"/>
                <w:sz w:val="20"/>
              </w:rPr>
              <w:t>执行院长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20"/>
              </w:rPr>
              <w:t>查看全院财务数据，处理院长审批节点。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20"/>
              </w:rPr>
              <w:t>CASHIER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b w:val="0"/>
                <w:sz w:val="20"/>
              </w:rPr>
              <w:t>出纳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20"/>
              </w:rPr>
              <w:t>处理付款任务，登记付款日期、金额和凭证号。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20"/>
              </w:rPr>
              <w:t>ADMIN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b w:val="0"/>
                <w:sz w:val="20"/>
              </w:rPr>
              <w:t>管理员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20"/>
              </w:rPr>
              <w:t>用户管理、系统维护、全量数据查看和安全审计。</w:t>
            </w:r>
          </w:p>
        </w:tc>
      </w:tr>
    </w:tbl>
    <w:p/>
    <w:p>
      <w:pPr>
        <w:pStyle w:val="Heading1"/>
      </w:pPr>
      <w:r>
        <w:t>四、核心业务规则</w:t>
      </w:r>
    </w:p>
    <w:p>
      <w:pPr>
        <w:pStyle w:val="ListBullet"/>
      </w:pPr>
      <w:r>
        <w:t>报销审批流程：申请人提交 -&gt; 财务初审 -&gt; 部门负责人审批 -&gt; 执行院长审批 -&gt; 出纳付款并上传银行回执 -&gt; 财务复核 -&gt; 完成。</w:t>
      </w:r>
    </w:p>
    <w:p>
      <w:pPr>
        <w:pStyle w:val="ListBullet"/>
      </w:pPr>
      <w:r>
        <w:t>报销单自动生成 BX 编号；申购单生成 CG 编号；劳务单生成 LW 编号；借款/预付款生成 YF 编号；资产生成 LY/ZC 编号；收入生成 SR 编号。</w:t>
      </w:r>
    </w:p>
    <w:p>
      <w:pPr>
        <w:pStyle w:val="ListBullet"/>
      </w:pPr>
      <w:r>
        <w:t>报销单可先保存草稿；提交审批时必须至少上传一份发票和一份合同、会议记录、付款凭证或其他证明材料。</w:t>
      </w:r>
    </w:p>
    <w:p>
      <w:pPr>
        <w:pStyle w:val="ListBullet"/>
      </w:pPr>
      <w:r>
        <w:t>报销金额超过 5 万元时必须填写大额说明并上传会议材料；申购总额大于 5 万元时必须上传院务委员会审议材料。</w:t>
      </w:r>
    </w:p>
    <w:p>
      <w:pPr>
        <w:pStyle w:val="ListBullet"/>
      </w:pPr>
      <w:r>
        <w:t>资产验收入库自动记录办公室验收人；办理领用时必须选择实际使用人，且不能与验收人相同。</w:t>
      </w:r>
    </w:p>
    <w:p>
      <w:pPr>
        <w:pStyle w:val="ListBullet"/>
      </w:pPr>
      <w:r>
        <w:t>首页报销总数、本月金额、已通过、待审批、待冲账和逾期卡片可直接进入对应筛选页面。</w:t>
      </w:r>
    </w:p>
    <w:p>
      <w:pPr>
        <w:pStyle w:val="ListBullet"/>
      </w:pPr>
      <w:r>
        <w:t>OCR 识别结果需要上传人确认，系统会比对发票金额与报销金额，异常时给出红色提醒，但不强制阻断审批。</w:t>
      </w:r>
    </w:p>
    <w:p>
      <w:pPr>
        <w:pStyle w:val="ListBullet"/>
      </w:pPr>
      <w:r>
        <w:t>财务复核通过后才扣减预算，避免审批未完成时提前影响预算数据。</w:t>
      </w:r>
    </w:p>
    <w:p>
      <w:pPr>
        <w:pStyle w:val="ListBullet"/>
      </w:pPr>
      <w:r>
        <w:t>所有关键操作写入操作日志，管理员可按模块、操作和关键词查询。</w:t>
      </w:r>
    </w:p>
    <w:p>
      <w:pPr>
        <w:pStyle w:val="ListBullet"/>
      </w:pPr>
      <w:r>
        <w:t>旧明文密码在系统启动时自动升级为 BCrypt；附件限制为 10MB 并校验扩展名、MIME 和危险路径。</w:t>
      </w:r>
    </w:p>
    <w:p>
      <w:pPr>
        <w:pStyle w:val="Heading1"/>
      </w:pPr>
      <w:r>
        <w:t>五、验收结果</w:t>
      </w:r>
    </w:p>
    <w:p>
      <w:pPr>
        <w:pStyle w:val="ListBullet"/>
      </w:pPr>
      <w:r>
        <w:t>前端已拆分为 layouts、views、components、api、composables 和 router，菜单已整合为仪表盘、工作台、业务模块、台账和系统管理。</w:t>
      </w:r>
    </w:p>
    <w:p>
      <w:pPr>
        <w:pStyle w:val="ListBullet"/>
      </w:pPr>
      <w:r>
        <w:t>左侧菜单按工作台、申请业务、资产管理、财务处理、预算统计和系统管理分组；我的待办与付款任务显示实时数量徽标。</w:t>
      </w:r>
    </w:p>
    <w:p>
      <w:pPr>
        <w:pStyle w:val="ListBullet"/>
      </w:pPr>
      <w:r>
        <w:t>首页采用六卡片、双图表、最近业务单据和待办事项三层布局，环形图显示引导线、数量、占比及中心总数。</w:t>
      </w:r>
    </w:p>
    <w:p>
      <w:pPr>
        <w:pStyle w:val="ListBullet"/>
      </w:pPr>
      <w:r>
        <w:t>7 类演示角色、18 条前端路由权限校验通过；无权限页面会跳转到当前角色的默认页面。</w:t>
      </w:r>
    </w:p>
    <w:p>
      <w:pPr>
        <w:pStyle w:val="ListBullet"/>
      </w:pPr>
      <w:r>
        <w:t>已检查桌面、笔记本和手机宽度，侧边栏、顶部栏、表格及弹窗没有页面级横向溢出。</w:t>
      </w:r>
    </w:p>
    <w:p>
      <w:pPr>
        <w:pStyle w:val="ListBullet"/>
      </w:pPr>
      <w:r>
        <w:t>后端 60 项测试全部通过并完成打包，覆盖业务流程、角色权限、安全机制和筛选边界。</w:t>
      </w:r>
    </w:p>
    <w:p>
      <w:pPr>
        <w:pStyle w:val="ListBullet"/>
      </w:pPr>
      <w:r>
        <w:t>演示账号覆盖员工、部门负责人、财务、办公室、执行院长、出纳、管理员。</w:t>
      </w:r>
    </w:p>
    <w:p>
      <w:pPr>
        <w:pStyle w:val="ListBullet"/>
      </w:pPr>
      <w:r>
        <w:t>报销、申购、劳务、借款均准备草稿、审批中、待后续处理和已完成演示数据；完成单含真实审批记录。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