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sz w:val="40"/>
        </w:rPr>
        <w:t>内部凭证财务系统使用文档</w:t>
      </w:r>
    </w:p>
    <w:p>
      <w:pPr>
        <w:jc w:val="center"/>
      </w:pPr>
      <w:r>
        <w:rPr>
          <w:color w:val="555555"/>
          <w:sz w:val="20"/>
        </w:rPr>
        <w:t>最终整合验收版 | 2026-07-02</w:t>
      </w:r>
    </w:p>
    <w:p/>
    <w:p>
      <w:pPr>
        <w:pStyle w:val="Heading1"/>
      </w:pPr>
      <w:r>
        <w:t>一、启动系统</w:t>
      </w:r>
    </w:p>
    <w:p>
      <w:pPr>
        <w:pStyle w:val="ListNumber"/>
      </w:pPr>
      <w:r>
        <w:t>打开后端：进入 backend 目录，运行 mvnw.cmd spring-boot:run，确认 8080 端口启动成功。</w:t>
      </w:r>
    </w:p>
    <w:p>
      <w:pPr>
        <w:pStyle w:val="ListNumber"/>
      </w:pPr>
      <w:r>
        <w:t>打开前端：进入 frontend 目录，运行 npm run dev，浏览器访问前端地址。</w:t>
      </w:r>
    </w:p>
    <w:p>
      <w:pPr>
        <w:pStyle w:val="ListNumber"/>
      </w:pPr>
      <w:r>
        <w:t>如果是服务器部署版，直接访问 http://服务器公网IP/finance。</w:t>
      </w:r>
    </w:p>
    <w:p>
      <w:pPr>
        <w:pStyle w:val="Heading1"/>
      </w:pPr>
      <w:r>
        <w:t>二、演示账号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vAlign w:val="center"/>
            <w:shd w:fill="F2F4F7"/>
          </w:tcPr>
          <w:p>
            <w:r/>
            <w:r>
              <w:rPr>
                <w:b/>
                <w:sz w:val="20"/>
              </w:rPr>
              <w:t>用户名</w:t>
            </w:r>
          </w:p>
        </w:tc>
        <w:tc>
          <w:tcPr>
            <w:tcW w:type="dxa" w:w="1440"/>
            <w:vAlign w:val="center"/>
            <w:shd w:fill="F2F4F7"/>
          </w:tcPr>
          <w:p>
            <w:r/>
            <w:r>
              <w:rPr>
                <w:b/>
                <w:sz w:val="20"/>
              </w:rPr>
              <w:t>密码</w:t>
            </w:r>
          </w:p>
        </w:tc>
        <w:tc>
          <w:tcPr>
            <w:tcW w:type="dxa" w:w="1728"/>
            <w:vAlign w:val="center"/>
            <w:shd w:fill="F2F4F7"/>
          </w:tcPr>
          <w:p>
            <w:r/>
            <w:r>
              <w:rPr>
                <w:b/>
                <w:sz w:val="20"/>
              </w:rPr>
              <w:t>角色</w:t>
            </w:r>
          </w:p>
        </w:tc>
        <w:tc>
          <w:tcPr>
            <w:tcW w:type="dxa" w:w="4320"/>
            <w:vAlign w:val="center"/>
            <w:shd w:fill="F2F4F7"/>
          </w:tcPr>
          <w:p>
            <w:r/>
            <w:r>
              <w:rPr>
                <w:b/>
                <w:sz w:val="20"/>
              </w:rPr>
              <w:t>演示用途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20"/>
              </w:rPr>
              <w:t>employee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123456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员工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提交和查看个人申请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20"/>
              </w:rPr>
              <w:t>manager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123456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部门负责人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处理本部门审批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20"/>
              </w:rPr>
              <w:t>finance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123456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财务人员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初审、复核、预算、收入、台账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20"/>
              </w:rPr>
              <w:t>office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123456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办公室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申购协作、资产验收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20"/>
              </w:rPr>
              <w:t>executive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123456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执行院长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全院数据和院长审批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20"/>
              </w:rPr>
              <w:t>cashier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123456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出纳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付款任务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0"/>
              </w:rPr>
              <w:t>123456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</w:rPr>
              <w:t>管理员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全量管理和审计</w:t>
            </w:r>
          </w:p>
        </w:tc>
      </w:tr>
    </w:tbl>
    <w:p/>
    <w:p>
      <w:pPr>
        <w:pStyle w:val="Heading1"/>
      </w:pPr>
      <w:r>
        <w:t>三、常用演示流程</w:t>
      </w:r>
    </w:p>
    <w:p>
      <w:pPr>
        <w:pStyle w:val="ListNumber"/>
      </w:pPr>
      <w:r>
        <w:t>使用 employee 登录，新建报销草稿；进入详情分别上传至少一份发票和一份其他凭证后再提交。</w:t>
      </w:r>
    </w:p>
    <w:p>
      <w:pPr>
        <w:pStyle w:val="ListNumber"/>
      </w:pPr>
      <w:r>
        <w:t>打开报销详情，执行 OCR 识别，检查金额校验提示，确认 OCR 数据。</w:t>
      </w:r>
    </w:p>
    <w:p>
      <w:pPr>
        <w:pStyle w:val="ListNumber"/>
      </w:pPr>
      <w:r>
        <w:t>提交报销单，切换 finance、manager、executive、cashier 按流程审批和付款。</w:t>
      </w:r>
    </w:p>
    <w:p>
      <w:pPr>
        <w:pStyle w:val="ListNumber"/>
      </w:pPr>
      <w:r>
        <w:t>finance 完成财务复核后，查看预算扣减和审批时间轴。</w:t>
      </w:r>
    </w:p>
    <w:p>
      <w:pPr>
        <w:pStyle w:val="ListNumber"/>
      </w:pPr>
      <w:r>
        <w:t>使用 office 登录办理资产验收入库，确认系统自动显示验收人；再选择实际使用人办理领用。</w:t>
      </w:r>
    </w:p>
    <w:p>
      <w:pPr>
        <w:pStyle w:val="ListNumber"/>
      </w:pPr>
      <w:r>
        <w:t>使用 admin 登录查看操作日志，确认提交、验收和领用等关键操作已经被记录。</w:t>
      </w:r>
    </w:p>
    <w:p>
      <w:pPr>
        <w:pStyle w:val="ListNumber"/>
      </w:pPr>
      <w:r>
        <w:t>使用 finance 登录收入登记，新增收入记录并上传附件。</w:t>
      </w:r>
    </w:p>
    <w:p>
      <w:pPr>
        <w:pStyle w:val="ListNumber"/>
      </w:pPr>
      <w:r>
        <w:t>进入财务总台账，按日期、部门、业务类型筛选，并导出 Excel。</w:t>
      </w:r>
    </w:p>
    <w:p>
      <w:pPr>
        <w:pStyle w:val="ListNumber"/>
      </w:pPr>
      <w:r>
        <w:t>可直接使用固定演示编号 BX/CG/LW/YF20260101001-004 查看不同阶段和完整时间轴。</w:t>
      </w:r>
    </w:p>
    <w:p>
      <w:pPr>
        <w:pStyle w:val="Heading1"/>
      </w:pPr>
      <w:r>
        <w:t>四、页面说明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F2F4F7"/>
          </w:tcPr>
          <w:p>
            <w:r/>
            <w:r>
              <w:rPr>
                <w:b/>
                <w:sz w:val="20"/>
              </w:rPr>
              <w:t>页面</w:t>
            </w:r>
          </w:p>
        </w:tc>
        <w:tc>
          <w:tcPr>
            <w:tcW w:type="dxa" w:w="6480"/>
            <w:vAlign w:val="center"/>
            <w:shd w:fill="F2F4F7"/>
          </w:tcPr>
          <w:p>
            <w:r/>
            <w:r>
              <w:rPr>
                <w:b/>
                <w:sz w:val="20"/>
              </w:rPr>
              <w:t>使用说明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首页仪表盘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20"/>
              </w:rPr>
              <w:t>财务/领导可见，员工不可见；部门负责人只看本部门；六张统计卡片可跳转到真实筛选结果。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我的申请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20"/>
              </w:rPr>
              <w:t>由后端统一工作台返回本人创建的报销、申购、劳务和借款。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我的待办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20"/>
              </w:rPr>
              <w:t>按当前角色、审批节点和部门范围返回真实待处理任务。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已办事项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20"/>
              </w:rPr>
              <w:t>根据审批记录返回当前用户实际审批、付款或复核过的事项。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报销管理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20"/>
              </w:rPr>
              <w:t>审批编号 BX+日期+序号；提交时发票和其他凭证必传；OCR 金额校验。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申购管理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20"/>
              </w:rPr>
              <w:t>编号 CG+日期+序号；多明细；总额大于 5 万元时院务委员会材料必传。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资产出入库/验收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20"/>
              </w:rPr>
              <w:t>编号 LY/ZC；自动记录办公室验收人，由办公室选择实际使用人办理领用。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劳务/酬金发放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20"/>
              </w:rPr>
              <w:t>编号 LW+日期+序号；多人领款；金额大写；付款与复核。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暂借款/预付款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20"/>
              </w:rPr>
              <w:t>编号 YF+日期+序号；待还款、部分冲账、已冲账、逾期提醒。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收入登记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20"/>
              </w:rPr>
              <w:t>记录收款日期、凭证号、缴款方、收入分类、到账账户和发票附件。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财务总台账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20"/>
              </w:rPr>
              <w:t>汇总收入、报销、劳务、申购、借款支出，支持筛选和 Excel 导出。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操作日志/安全审计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20"/>
              </w:rPr>
              <w:t>记录登录、审批、导出、用户管理、附件上传等关键操作。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登录与附件安全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20"/>
              </w:rPr>
              <w:t>BCrypt 密码、限时 token、密码修改后会话失效、受权限保护的附件下载。</w:t>
            </w:r>
          </w:p>
        </w:tc>
      </w:tr>
    </w:tbl>
    <w:p/>
    <w:p>
      <w:pPr>
        <w:pStyle w:val="Heading1"/>
      </w:pPr>
      <w:r>
        <w:t>五、注意事项</w:t>
      </w:r>
    </w:p>
    <w:p>
      <w:pPr>
        <w:pStyle w:val="ListBullet"/>
      </w:pPr>
      <w:r>
        <w:t>员工不能查看财务仪表盘和总台账，这是前后端同时控制的权限。</w:t>
      </w:r>
    </w:p>
    <w:p>
      <w:pPr>
        <w:pStyle w:val="ListBullet"/>
      </w:pPr>
      <w:r>
        <w:t>部门负责人只能查看本部门数据。</w:t>
      </w:r>
    </w:p>
    <w:p>
      <w:pPr>
        <w:pStyle w:val="ListBullet"/>
      </w:pPr>
      <w:r>
        <w:t>报销提交时必须同时具备发票和其他凭证；草稿阶段可以暂不上传。</w:t>
      </w:r>
    </w:p>
    <w:p>
      <w:pPr>
        <w:pStyle w:val="ListBullet"/>
      </w:pPr>
      <w:r>
        <w:t>申购金额等于 5 万元时无需审议材料，大于 5 万元时必须上传院务委员会审议材料。</w:t>
      </w:r>
    </w:p>
    <w:p>
      <w:pPr>
        <w:pStyle w:val="ListBullet"/>
      </w:pPr>
      <w:r>
        <w:t>资产领用由办公室办理，必须选择实际使用人，且不能选择本次验收人。</w:t>
      </w:r>
    </w:p>
    <w:p>
      <w:pPr>
        <w:pStyle w:val="ListBullet"/>
      </w:pPr>
      <w:r>
        <w:t>出纳付款前需要上传银行回执，并填写付款日期、金额、凭证号。</w:t>
      </w:r>
    </w:p>
    <w:p>
      <w:pPr>
        <w:pStyle w:val="ListBullet"/>
      </w:pPr>
      <w:r>
        <w:t>附件必须通过系统内“查看”按钮下载，不能直接访问 /uploads 路径。</w:t>
      </w:r>
    </w:p>
    <w:p>
      <w:pPr>
        <w:pStyle w:val="ListBullet"/>
      </w:pPr>
      <w:r>
        <w:t>登录 token 默认 120 分钟有效；退出登录或修改密码后旧 token 立即失效。</w:t>
      </w:r>
    </w:p>
    <w:p>
      <w:pPr>
        <w:pStyle w:val="ListBullet"/>
      </w:pPr>
      <w:r>
        <w:t>部署到服务器后，不建议开放 MySQL 3306 公网端口。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