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Microsoft YaHei"/>
          <w:b/>
          <w:sz w:val="40"/>
        </w:rPr>
        <w:t>财务系统 Web 端访问使用文档</w:t>
      </w:r>
    </w:p>
    <w:p>
      <w:pPr>
        <w:jc w:val="center"/>
      </w:pPr>
      <w:r>
        <w:rPr>
          <w:color w:val="555555"/>
          <w:sz w:val="20"/>
        </w:rPr>
        <w:t>服务器访问版 | 2026-07-02</w:t>
      </w:r>
    </w:p>
    <w:p/>
    <w:p>
      <w:pPr>
        <w:pStyle w:val="Heading1"/>
      </w:pPr>
      <w:r>
        <w:t>一、访问地址</w:t>
      </w:r>
    </w:p>
    <w:p>
      <w:r>
        <w:t>部署完成后，浏览器访问：http://服务器公网IP/finance。后端健康检查地址为：http://服务器公网IP/api/health。</w:t>
      </w:r>
    </w:p>
    <w:p>
      <w:pPr>
        <w:pStyle w:val="Heading1"/>
      </w:pPr>
      <w:r>
        <w:t>二、服务器组件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vAlign w:val="center"/>
            <w:shd w:fill="F2F4F7"/>
          </w:tcPr>
          <w:p>
            <w:r/>
            <w:r>
              <w:rPr>
                <w:b/>
                <w:sz w:val="20"/>
              </w:rPr>
              <w:t>组件</w:t>
            </w:r>
          </w:p>
        </w:tc>
        <w:tc>
          <w:tcPr>
            <w:tcW w:type="dxa" w:w="6912"/>
            <w:vAlign w:val="center"/>
            <w:shd w:fill="F2F4F7"/>
          </w:tcPr>
          <w:p>
            <w:r/>
            <w:r>
              <w:rPr>
                <w:b/>
                <w:sz w:val="20"/>
              </w:rPr>
              <w:t>作用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20"/>
              </w:rPr>
              <w:t>Nginx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20"/>
              </w:rPr>
              <w:t>对外提供 80/443 访问，转发 /api 到后端，托管 /finance 前端静态文件。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20"/>
              </w:rPr>
              <w:t>Spring Boot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20"/>
              </w:rPr>
              <w:t>运行后端 API、业务逻辑、权限校验和文件上传。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20"/>
              </w:rPr>
              <w:t>MySQL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20"/>
              </w:rPr>
              <w:t>保存用户、部门、报销、审批、附件、资产、收入和日志数据。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20"/>
              </w:rPr>
              <w:t>系统服务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20"/>
              </w:rPr>
              <w:t>使用 systemd 管理后端进程，保证重启后可恢复。</w:t>
            </w:r>
          </w:p>
        </w:tc>
      </w:tr>
    </w:tbl>
    <w:p/>
    <w:p>
      <w:pPr>
        <w:pStyle w:val="Heading1"/>
      </w:pPr>
      <w:r>
        <w:t>三、更新部署流程</w:t>
      </w:r>
    </w:p>
    <w:p>
      <w:pPr>
        <w:pStyle w:val="ListNumber"/>
      </w:pPr>
      <w:r>
        <w:t>本地运行前端构建 npm run build。</w:t>
      </w:r>
    </w:p>
    <w:p>
      <w:pPr>
        <w:pStyle w:val="ListNumber"/>
      </w:pPr>
      <w:r>
        <w:t>本地运行后端打包 mvnw.cmd clean test package。</w:t>
      </w:r>
    </w:p>
    <w:p>
      <w:pPr>
        <w:pStyle w:val="ListNumber"/>
      </w:pPr>
      <w:r>
        <w:t>上传 backend/target/backend-0.0.1-SNAPSHOT.jar、frontend/dist、deploy 配置和 database/init.sql 到服务器。</w:t>
      </w:r>
    </w:p>
    <w:p>
      <w:pPr>
        <w:pStyle w:val="ListNumber"/>
      </w:pPr>
      <w:r>
        <w:t>服务器执行数据库初始化或迁移，重启后端服务。</w:t>
      </w:r>
    </w:p>
    <w:p>
      <w:pPr>
        <w:pStyle w:val="ListNumber"/>
      </w:pPr>
      <w:r>
        <w:t>复制前端 dist 到 Nginx /finance 目录，重载 Nginx。</w:t>
      </w:r>
    </w:p>
    <w:p>
      <w:pPr>
        <w:pStyle w:val="ListNumber"/>
      </w:pPr>
      <w:r>
        <w:t>访问 /finance、/api/health 验证前后端正常。</w:t>
      </w:r>
    </w:p>
    <w:p>
      <w:pPr>
        <w:pStyle w:val="Heading1"/>
      </w:pPr>
      <w:r>
        <w:t>四、上线安全建议</w:t>
      </w:r>
    </w:p>
    <w:p>
      <w:pPr>
        <w:pStyle w:val="ListBullet"/>
      </w:pPr>
      <w:r>
        <w:t>服务器只开放 22、80、443，MySQL 不建议公网开放。</w:t>
      </w:r>
    </w:p>
    <w:p>
      <w:pPr>
        <w:pStyle w:val="ListBullet"/>
      </w:pPr>
      <w:r>
        <w:t>使用强密码或 SSH 密钥登录服务器。</w:t>
      </w:r>
    </w:p>
    <w:p>
      <w:pPr>
        <w:pStyle w:val="ListBullet"/>
      </w:pPr>
      <w:r>
        <w:t>定期备份数据库和上传附件目录。</w:t>
      </w:r>
    </w:p>
    <w:p>
      <w:pPr>
        <w:pStyle w:val="ListBullet"/>
      </w:pPr>
      <w:r>
        <w:t>系统已启用 BCrypt 密码和授权附件下载；真实上线还应启用 HTTPS、接口限流和日志异地备份。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