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为什么要选择非线性函数：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对于两层的神经网络（只有一个隐藏层），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假设所有的激活函数都是线性的，为了简化计算，我们直接令激活函数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g(z)=z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a=z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。那么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浅层神经网络的各层输出为：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3185160" cy="2415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再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对上式中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a[2]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进行化简计算：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6382385" cy="65405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结论</w:t>
      </w:r>
      <w:r>
        <w:rPr>
          <w:rFonts w:hint="eastAsia" w:ascii="微软雅黑" w:hAnsi="微软雅黑" w:eastAsia="微软雅黑" w:cs="微软雅黑"/>
          <w:lang w:val="en-US" w:eastAsia="zh-CN"/>
        </w:rPr>
        <w:t>：经过推导发现a[2]仍是输入变量x的线性组合。这表明，使用神经网络与直接使用线性模型的效果并没有什么两样。即便是包含多层隐藏层的神经网络，如果使用线性函数作为激活函数，最终的输出仍然是输入x的线性模型。这样的话神经网络就没有任何作用了。因此，隐藏层的激活函数必须要是非线性的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正反向传播公式（m个样本）时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向量化：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正向公式：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</w:pPr>
      <w:r>
        <w:drawing>
          <wp:inline distT="0" distB="0" distL="114300" distR="114300">
            <wp:extent cx="3383280" cy="2545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反向公式：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</w:pPr>
      <w:r>
        <w:drawing>
          <wp:inline distT="0" distB="0" distL="114300" distR="114300">
            <wp:extent cx="5268595" cy="344487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随机初始化：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对于w来说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神经网络模型中的参数W是不能全部初始化为零的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原因在于：设置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W[1]和W[2]全为0，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这样的结果是隐藏层两个神经元对应的行向量W1[1]和W2[1]每次迭代更新都会得到完全相同的结果，W1[1]始终等于W2[1]，完全对称。这样隐藏层设置多个神经元就没有任何意义了。值得一提的是，参数b可以全部初始化为零，并不会影响神经网络训练效果。</w:t>
      </w:r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深层神经网络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082540" cy="27660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1.例如，该神经网络为有6层的深层神经网络，用n[0]表示第一层输入层的x的维数，n[1]表示该隐藏层神经元数目，以此类推到最后输出层为n[l]表示最后一层神经元数目，l为该神经元层数。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单个样本，l层的深度神经网络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中参数的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矩阵维度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表示：</w:t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583180" cy="11125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590800" cy="12573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2118360" cy="11201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m个样本时：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只有Z和A改变了维度。</w:t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499360" cy="1295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流程图块：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正向和反向传播流程图块：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353175" cy="2647950"/>
            <wp:effectExtent l="0" t="0" r="190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正向为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输入：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a[l−1]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输出：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a[l]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参数：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W[l],b[l]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缓存变量：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[l]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反向</w:t>
      </w:r>
      <w:r>
        <w:rPr>
          <w:rFonts w:hint="eastAsia" w:ascii="MathJax_Main" w:hAnsi="MathJax_Main" w:eastAsia="宋体" w:cs="MathJax_Main"/>
          <w:b w:val="0"/>
          <w:i w:val="0"/>
          <w:caps w:val="0"/>
          <w:color w:val="4F4F4F"/>
          <w:spacing w:val="0"/>
          <w:sz w:val="17"/>
          <w:szCs w:val="17"/>
          <w:u w:val="none"/>
          <w:bdr w:val="none" w:color="auto" w:sz="0" w:space="0"/>
          <w:shd w:val="clear" w:fill="FFFFFF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输入：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da[l]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输出：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da[l−1],dW[l],db[l]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参数：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W[l]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,b[l]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l层神经网络正反向传播表达式：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  <w:lang w:val="en-US" w:eastAsia="zh-CN"/>
        </w:rPr>
        <w:t>单个样本时：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正向：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2804160" cy="116586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反向：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3208020" cy="21183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将第四个式子中变为da[l],W[l+1],dz[l+1]时，将其带入一式，可得出：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4084320" cy="609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m个样本时向量化形式: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正向：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2956560" cy="11582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反向：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5273040" cy="316801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MathJax_Main" w:hAnsi="MathJax_Main" w:eastAsia="宋体" w:cs="MathJax_Main"/>
          <w:b w:val="0"/>
          <w:i w:val="0"/>
          <w:caps w:val="0"/>
          <w:color w:val="4F4F4F"/>
          <w:spacing w:val="0"/>
          <w:sz w:val="17"/>
          <w:szCs w:val="17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8899F"/>
    <w:multiLevelType w:val="singleLevel"/>
    <w:tmpl w:val="FDB8899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F1FFC2"/>
    <w:multiLevelType w:val="singleLevel"/>
    <w:tmpl w:val="12F1FF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F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75166</dc:creator>
  <cp:lastModifiedBy>我就是这样</cp:lastModifiedBy>
  <dcterms:modified xsi:type="dcterms:W3CDTF">2019-01-21T09:59:32Z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