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7EE52" w14:textId="77777777" w:rsidR="00984CD9" w:rsidRPr="00984CD9" w:rsidRDefault="00984CD9" w:rsidP="00407A33">
      <w:pPr>
        <w:pBdr>
          <w:bottom w:val="single" w:sz="6" w:space="0" w:color="97B0C8"/>
        </w:pBdr>
        <w:shd w:val="clear" w:color="auto" w:fill="FFFFFF"/>
        <w:spacing w:after="200" w:line="240" w:lineRule="auto"/>
        <w:contextualSpacing/>
        <w:outlineLvl w:val="1"/>
        <w:rPr>
          <w:rFonts w:ascii="Cambria" w:eastAsia="Times New Roman" w:hAnsi="Cambria" w:cs="Times New Roman"/>
          <w:color w:val="995733"/>
          <w:spacing w:val="-2"/>
          <w:sz w:val="24"/>
          <w:szCs w:val="24"/>
        </w:rPr>
      </w:pPr>
      <w:r w:rsidRPr="00984CD9">
        <w:rPr>
          <w:rFonts w:ascii="Cambria" w:eastAsia="Times New Roman" w:hAnsi="Cambria" w:cs="Times New Roman"/>
          <w:color w:val="995733"/>
          <w:spacing w:val="-2"/>
          <w:sz w:val="24"/>
          <w:szCs w:val="24"/>
        </w:rPr>
        <w:t>INTRODUCTION</w:t>
      </w:r>
    </w:p>
    <w:p w14:paraId="06A739BB" w14:textId="77777777" w:rsidR="00FB57D4" w:rsidRDefault="00FB57D4" w:rsidP="00407A33">
      <w:pPr>
        <w:shd w:val="clear" w:color="auto" w:fill="FFFFFF"/>
        <w:spacing w:before="400" w:after="400" w:line="240" w:lineRule="auto"/>
        <w:contextualSpacing/>
        <w:rPr>
          <w:rFonts w:ascii="Cambria" w:eastAsia="Times New Roman" w:hAnsi="Cambria" w:cs="Times New Roman"/>
          <w:color w:val="212121"/>
          <w:sz w:val="24"/>
          <w:szCs w:val="24"/>
        </w:rPr>
      </w:pPr>
    </w:p>
    <w:p w14:paraId="004E8E05" w14:textId="53307FE4" w:rsidR="00984CD9" w:rsidRPr="0067648D" w:rsidRDefault="00984CD9" w:rsidP="00407A33">
      <w:pPr>
        <w:shd w:val="clear" w:color="auto" w:fill="FFFFFF"/>
        <w:spacing w:before="400" w:after="400" w:line="240" w:lineRule="auto"/>
        <w:contextualSpacing/>
        <w:rPr>
          <w:rFonts w:ascii="Cambria" w:eastAsia="Times New Roman" w:hAnsi="Cambria" w:cs="Times New Roman"/>
          <w:color w:val="212121"/>
          <w:sz w:val="24"/>
          <w:szCs w:val="24"/>
        </w:rPr>
      </w:pPr>
      <w:r w:rsidRPr="00984CD9">
        <w:rPr>
          <w:rFonts w:ascii="Cambria" w:eastAsia="Times New Roman" w:hAnsi="Cambria" w:cs="Times New Roman"/>
          <w:color w:val="212121"/>
          <w:sz w:val="24"/>
          <w:szCs w:val="24"/>
        </w:rPr>
        <w:t xml:space="preserve">Low back pain is the second most common symptomatic reason for physician office visits, and the associated health care costs are rapidly rising. One reason for this increase is the inappropriate use of advanced imaging, particularly magnetic resonance imaging (MRI), for uncomplicated non-specific low back pain. Routine use of MRIs in low back pain cases is common, with 16 to 21% of low back pain patients in commercial health care plans and 12% of Medicare patients receiving an MRI. Clinical guidelines recommend that new episodes of non-specific low back pain not complicated by red flag conditions should be treated with conservative therapy and that MRI is not indicated in the first 6 weeks of onset. However, studies have found that 26 to 44% of spine MRIs are not </w:t>
      </w:r>
      <w:proofErr w:type="gramStart"/>
      <w:r w:rsidRPr="00984CD9">
        <w:rPr>
          <w:rFonts w:ascii="Cambria" w:eastAsia="Times New Roman" w:hAnsi="Cambria" w:cs="Times New Roman"/>
          <w:color w:val="212121"/>
          <w:sz w:val="24"/>
          <w:szCs w:val="24"/>
        </w:rPr>
        <w:t>guideline-concordant</w:t>
      </w:r>
      <w:proofErr w:type="gramEnd"/>
      <w:r w:rsidRPr="00984CD9">
        <w:rPr>
          <w:rFonts w:ascii="Cambria" w:eastAsia="Times New Roman" w:hAnsi="Cambria" w:cs="Times New Roman"/>
          <w:color w:val="212121"/>
          <w:sz w:val="24"/>
          <w:szCs w:val="24"/>
        </w:rPr>
        <w:t>.</w:t>
      </w:r>
      <w:r w:rsidR="00F7290C" w:rsidRPr="0067648D">
        <w:rPr>
          <w:rFonts w:ascii="Cambria" w:eastAsia="Times New Roman" w:hAnsi="Cambria" w:cs="Times New Roman"/>
          <w:color w:val="212121"/>
          <w:sz w:val="24"/>
          <w:szCs w:val="24"/>
        </w:rPr>
        <w:t xml:space="preserve"> </w:t>
      </w:r>
    </w:p>
    <w:p w14:paraId="1A2FDDB6" w14:textId="77777777" w:rsidR="0067648D" w:rsidRPr="00984CD9" w:rsidRDefault="0067648D" w:rsidP="00407A33">
      <w:pPr>
        <w:shd w:val="clear" w:color="auto" w:fill="FFFFFF"/>
        <w:spacing w:before="400" w:after="400" w:line="240" w:lineRule="auto"/>
        <w:contextualSpacing/>
        <w:rPr>
          <w:rFonts w:ascii="Cambria" w:eastAsia="Times New Roman" w:hAnsi="Cambria" w:cs="Times New Roman"/>
          <w:color w:val="212121"/>
          <w:sz w:val="24"/>
          <w:szCs w:val="24"/>
        </w:rPr>
      </w:pPr>
    </w:p>
    <w:p w14:paraId="60AB06AB" w14:textId="71F191F5" w:rsidR="00984CD9" w:rsidRPr="0067648D" w:rsidRDefault="00984CD9" w:rsidP="00407A33">
      <w:pPr>
        <w:shd w:val="clear" w:color="auto" w:fill="FFFFFF"/>
        <w:spacing w:before="400" w:line="240" w:lineRule="auto"/>
        <w:contextualSpacing/>
        <w:rPr>
          <w:rFonts w:ascii="Cambria" w:eastAsia="Times New Roman" w:hAnsi="Cambria" w:cs="Times New Roman"/>
          <w:color w:val="212121"/>
          <w:sz w:val="24"/>
          <w:szCs w:val="24"/>
        </w:rPr>
      </w:pPr>
      <w:r w:rsidRPr="00984CD9">
        <w:rPr>
          <w:rFonts w:ascii="Cambria" w:eastAsia="Times New Roman" w:hAnsi="Cambria" w:cs="Times New Roman"/>
          <w:color w:val="212121"/>
          <w:sz w:val="24"/>
          <w:szCs w:val="24"/>
        </w:rPr>
        <w:t>There is growing evidence that the consequences of inappropriate imaging for uncomplicated non-specific low back pain extend beyond the direct costs of an MRI. Potential downstream consequences include subsequent referrals and interventions performed as a result of imaging. Rates of lumbar spine procedures, including surgery, epidural steroid injections, and facet joint injections, are also increasing and are part of the higher costs associated with inappropriate imaging.</w:t>
      </w:r>
      <w:r w:rsidR="00F7290C" w:rsidRPr="0067648D">
        <w:rPr>
          <w:rFonts w:ascii="Cambria" w:eastAsia="Times New Roman" w:hAnsi="Cambria" w:cs="Times New Roman"/>
          <w:color w:val="212121"/>
          <w:sz w:val="24"/>
          <w:szCs w:val="24"/>
        </w:rPr>
        <w:t xml:space="preserve"> </w:t>
      </w:r>
      <w:r w:rsidRPr="00984CD9">
        <w:rPr>
          <w:rFonts w:ascii="Cambria" w:eastAsia="Times New Roman" w:hAnsi="Cambria" w:cs="Times New Roman"/>
          <w:color w:val="212121"/>
          <w:sz w:val="24"/>
          <w:szCs w:val="24"/>
        </w:rPr>
        <w:t>There is no evidence that these additional procedures lead to better outcomes, and they may even result in more harm than benefit.</w:t>
      </w:r>
      <w:r w:rsidR="00F7290C" w:rsidRPr="0067648D">
        <w:rPr>
          <w:rFonts w:ascii="Cambria" w:eastAsia="Times New Roman" w:hAnsi="Cambria" w:cs="Times New Roman"/>
          <w:color w:val="212121"/>
          <w:sz w:val="24"/>
          <w:szCs w:val="24"/>
        </w:rPr>
        <w:t xml:space="preserve"> </w:t>
      </w:r>
      <w:r w:rsidRPr="00984CD9">
        <w:rPr>
          <w:rFonts w:ascii="Cambria" w:eastAsia="Times New Roman" w:hAnsi="Cambria" w:cs="Times New Roman"/>
          <w:color w:val="212121"/>
          <w:sz w:val="24"/>
          <w:szCs w:val="24"/>
        </w:rPr>
        <w:t>The downstream effects of early MRI of the lumbar spine on procedures and opioid use remain underexplored in the literature</w:t>
      </w:r>
      <w:r w:rsidR="00FB57D4">
        <w:rPr>
          <w:rFonts w:ascii="Cambria" w:eastAsia="Times New Roman" w:hAnsi="Cambria" w:cs="Times New Roman"/>
          <w:color w:val="212121"/>
          <w:sz w:val="24"/>
          <w:szCs w:val="24"/>
        </w:rPr>
        <w:t xml:space="preserve">. </w:t>
      </w:r>
    </w:p>
    <w:p w14:paraId="349B2202" w14:textId="77777777" w:rsidR="0067648D" w:rsidRPr="00984CD9" w:rsidRDefault="0067648D" w:rsidP="00407A33">
      <w:pPr>
        <w:shd w:val="clear" w:color="auto" w:fill="FFFFFF"/>
        <w:spacing w:before="400" w:line="240" w:lineRule="auto"/>
        <w:contextualSpacing/>
        <w:rPr>
          <w:rFonts w:ascii="Cambria" w:eastAsia="Times New Roman" w:hAnsi="Cambria" w:cs="Times New Roman"/>
          <w:color w:val="212121"/>
          <w:sz w:val="24"/>
          <w:szCs w:val="24"/>
        </w:rPr>
      </w:pPr>
    </w:p>
    <w:p w14:paraId="544FCBF9" w14:textId="77777777" w:rsidR="00984CD9" w:rsidRPr="00984CD9" w:rsidRDefault="00984CD9" w:rsidP="00407A33">
      <w:pPr>
        <w:pBdr>
          <w:bottom w:val="single" w:sz="6" w:space="0" w:color="97B0C8"/>
        </w:pBdr>
        <w:shd w:val="clear" w:color="auto" w:fill="FFFFFF"/>
        <w:spacing w:before="400" w:after="200" w:line="240" w:lineRule="auto"/>
        <w:contextualSpacing/>
        <w:outlineLvl w:val="1"/>
        <w:rPr>
          <w:rFonts w:ascii="Cambria" w:eastAsia="Times New Roman" w:hAnsi="Cambria" w:cs="Times New Roman"/>
          <w:color w:val="995733"/>
          <w:spacing w:val="-2"/>
          <w:sz w:val="24"/>
          <w:szCs w:val="24"/>
        </w:rPr>
      </w:pPr>
      <w:r w:rsidRPr="00984CD9">
        <w:rPr>
          <w:rFonts w:ascii="Cambria" w:eastAsia="Times New Roman" w:hAnsi="Cambria" w:cs="Times New Roman"/>
          <w:color w:val="995733"/>
          <w:spacing w:val="-2"/>
          <w:sz w:val="24"/>
          <w:szCs w:val="24"/>
        </w:rPr>
        <w:t>METHODS</w:t>
      </w:r>
    </w:p>
    <w:p w14:paraId="373AA0C9" w14:textId="77777777" w:rsidR="00FB57D4" w:rsidRDefault="00FB57D4" w:rsidP="00407A33">
      <w:pPr>
        <w:shd w:val="clear" w:color="auto" w:fill="FFFFFF"/>
        <w:spacing w:before="400" w:after="400" w:line="240" w:lineRule="auto"/>
        <w:contextualSpacing/>
        <w:rPr>
          <w:rFonts w:ascii="Cambria" w:eastAsia="Times New Roman" w:hAnsi="Cambria" w:cs="Times New Roman"/>
          <w:color w:val="212121"/>
          <w:sz w:val="24"/>
          <w:szCs w:val="24"/>
        </w:rPr>
      </w:pPr>
    </w:p>
    <w:p w14:paraId="1450F224" w14:textId="35C0C1ED" w:rsidR="00984CD9" w:rsidRPr="0067648D" w:rsidRDefault="00984CD9" w:rsidP="00407A33">
      <w:pPr>
        <w:shd w:val="clear" w:color="auto" w:fill="FFFFFF"/>
        <w:spacing w:before="400" w:after="400" w:line="240" w:lineRule="auto"/>
        <w:contextualSpacing/>
        <w:rPr>
          <w:rFonts w:ascii="Cambria" w:eastAsia="Times New Roman" w:hAnsi="Cambria" w:cs="Times New Roman"/>
          <w:color w:val="212121"/>
          <w:sz w:val="24"/>
          <w:szCs w:val="24"/>
        </w:rPr>
      </w:pPr>
      <w:r w:rsidRPr="00984CD9">
        <w:rPr>
          <w:rFonts w:ascii="Cambria" w:eastAsia="Times New Roman" w:hAnsi="Cambria" w:cs="Times New Roman"/>
          <w:color w:val="212121"/>
          <w:sz w:val="24"/>
          <w:szCs w:val="24"/>
        </w:rPr>
        <w:t xml:space="preserve">We conducted a retrospective cohort study of new episodes of uncomplicated non-specific low back pain. We used data from the U.S. Department of Veterans Affairs (VA) Corporate Data Warehouse, a national repository of extracts of electronic health records. </w:t>
      </w:r>
    </w:p>
    <w:p w14:paraId="12E8B538" w14:textId="77777777" w:rsidR="0067648D" w:rsidRPr="00984CD9" w:rsidRDefault="0067648D" w:rsidP="00407A33">
      <w:pPr>
        <w:shd w:val="clear" w:color="auto" w:fill="FFFFFF"/>
        <w:spacing w:before="400" w:after="400" w:line="240" w:lineRule="auto"/>
        <w:contextualSpacing/>
        <w:rPr>
          <w:rFonts w:ascii="Cambria" w:eastAsia="Times New Roman" w:hAnsi="Cambria" w:cs="Times New Roman"/>
          <w:color w:val="212121"/>
          <w:sz w:val="24"/>
          <w:szCs w:val="24"/>
        </w:rPr>
      </w:pPr>
    </w:p>
    <w:p w14:paraId="00660B06" w14:textId="77777777" w:rsidR="00984CD9" w:rsidRPr="00984CD9" w:rsidRDefault="00984CD9" w:rsidP="00407A33">
      <w:pPr>
        <w:shd w:val="clear" w:color="auto" w:fill="FFFFFF"/>
        <w:spacing w:after="200" w:line="240" w:lineRule="auto"/>
        <w:contextualSpacing/>
        <w:outlineLvl w:val="2"/>
        <w:rPr>
          <w:rFonts w:ascii="Cambria" w:eastAsia="Times New Roman" w:hAnsi="Cambria" w:cs="Times New Roman"/>
          <w:color w:val="734126"/>
          <w:spacing w:val="-2"/>
          <w:sz w:val="24"/>
          <w:szCs w:val="24"/>
        </w:rPr>
      </w:pPr>
      <w:r w:rsidRPr="00984CD9">
        <w:rPr>
          <w:rFonts w:ascii="Cambria" w:eastAsia="Times New Roman" w:hAnsi="Cambria" w:cs="Times New Roman"/>
          <w:color w:val="734126"/>
          <w:spacing w:val="-2"/>
          <w:sz w:val="24"/>
          <w:szCs w:val="24"/>
        </w:rPr>
        <w:t>Cohort</w:t>
      </w:r>
    </w:p>
    <w:p w14:paraId="65C1A4A4" w14:textId="3D2594AB" w:rsidR="00984CD9" w:rsidRPr="00984CD9" w:rsidRDefault="00984CD9" w:rsidP="00407A33">
      <w:pPr>
        <w:shd w:val="clear" w:color="auto" w:fill="FFFFFF"/>
        <w:spacing w:before="400" w:after="400" w:line="240" w:lineRule="auto"/>
        <w:contextualSpacing/>
        <w:rPr>
          <w:rFonts w:ascii="Cambria" w:eastAsia="Times New Roman" w:hAnsi="Cambria" w:cs="Times New Roman"/>
          <w:color w:val="212121"/>
          <w:sz w:val="24"/>
          <w:szCs w:val="24"/>
        </w:rPr>
      </w:pPr>
      <w:r w:rsidRPr="00984CD9">
        <w:rPr>
          <w:rFonts w:ascii="Cambria" w:eastAsia="Times New Roman" w:hAnsi="Cambria" w:cs="Times New Roman"/>
          <w:color w:val="212121"/>
          <w:sz w:val="24"/>
          <w:szCs w:val="24"/>
        </w:rPr>
        <w:t xml:space="preserve">Individuals were eligible for inclusion if they had a visit for uncomplicated low back pain in a VA primary care clinic between June 1, 2015, and June 30, 2016. Uncomplicated low back pain visits were characterized with a diagnosis of non-specific pain of the lower back: lumbar sprain, strain, spondylosis, or disk degeneration. </w:t>
      </w:r>
    </w:p>
    <w:p w14:paraId="59B345E0" w14:textId="77777777" w:rsidR="007E11DF" w:rsidRDefault="007E11DF" w:rsidP="00407A33">
      <w:pPr>
        <w:shd w:val="clear" w:color="auto" w:fill="FFFFFF"/>
        <w:spacing w:before="400" w:after="400" w:line="240" w:lineRule="auto"/>
        <w:contextualSpacing/>
        <w:rPr>
          <w:rFonts w:ascii="Cambria" w:eastAsia="Times New Roman" w:hAnsi="Cambria" w:cs="Times New Roman"/>
          <w:color w:val="212121"/>
          <w:sz w:val="24"/>
          <w:szCs w:val="24"/>
        </w:rPr>
      </w:pPr>
    </w:p>
    <w:p w14:paraId="1A5F96B9" w14:textId="65C535F1" w:rsidR="00F7290C" w:rsidRPr="0067648D" w:rsidRDefault="00984CD9" w:rsidP="00407A33">
      <w:pPr>
        <w:shd w:val="clear" w:color="auto" w:fill="FFFFFF"/>
        <w:spacing w:before="400" w:after="400" w:line="240" w:lineRule="auto"/>
        <w:contextualSpacing/>
        <w:rPr>
          <w:rFonts w:ascii="Cambria" w:eastAsia="Times New Roman" w:hAnsi="Cambria" w:cs="Times New Roman"/>
          <w:color w:val="212121"/>
          <w:sz w:val="24"/>
          <w:szCs w:val="24"/>
        </w:rPr>
      </w:pPr>
      <w:r w:rsidRPr="00984CD9">
        <w:rPr>
          <w:rFonts w:ascii="Cambria" w:eastAsia="Times New Roman" w:hAnsi="Cambria" w:cs="Times New Roman"/>
          <w:color w:val="212121"/>
          <w:sz w:val="24"/>
          <w:szCs w:val="24"/>
        </w:rPr>
        <w:t>Visits were excluded if there was a “red flag” condition, as defined by the Medicare performance measure for appropriateness of lumbar spine MRI (LS-MRI), present in VA hospital and outpatient data. These conditions included trauma in the prior 45 days; lumbar spine surgery in the past 90 days; cancer, neurologic impairment, infections, or injection drug use in the past year; or autoimmune, inflammatory, conditions, neoplastic abnormalities, radiation therapy, or congenital malformation in the last 5 years.</w:t>
      </w:r>
    </w:p>
    <w:p w14:paraId="4435065C" w14:textId="77777777" w:rsidR="0067648D" w:rsidRPr="0067648D" w:rsidRDefault="0067648D" w:rsidP="00407A33">
      <w:pPr>
        <w:shd w:val="clear" w:color="auto" w:fill="FFFFFF"/>
        <w:spacing w:before="400" w:after="400" w:line="240" w:lineRule="auto"/>
        <w:contextualSpacing/>
        <w:rPr>
          <w:rFonts w:ascii="Cambria" w:eastAsia="Times New Roman" w:hAnsi="Cambria" w:cs="Times New Roman"/>
          <w:color w:val="212121"/>
          <w:sz w:val="24"/>
          <w:szCs w:val="24"/>
        </w:rPr>
      </w:pPr>
    </w:p>
    <w:p w14:paraId="568A7E7E" w14:textId="57A61AD1" w:rsidR="00984CD9" w:rsidRPr="00984CD9" w:rsidRDefault="00984CD9" w:rsidP="00407A33">
      <w:pPr>
        <w:shd w:val="clear" w:color="auto" w:fill="FFFFFF"/>
        <w:spacing w:before="400" w:after="400" w:line="240" w:lineRule="auto"/>
        <w:contextualSpacing/>
        <w:rPr>
          <w:rFonts w:ascii="Cambria" w:eastAsia="Times New Roman" w:hAnsi="Cambria" w:cs="Times New Roman"/>
          <w:color w:val="212121"/>
          <w:sz w:val="24"/>
          <w:szCs w:val="24"/>
        </w:rPr>
      </w:pPr>
      <w:r w:rsidRPr="00984CD9">
        <w:rPr>
          <w:rFonts w:ascii="Cambria" w:eastAsia="Times New Roman" w:hAnsi="Cambria" w:cs="Times New Roman"/>
          <w:color w:val="734126"/>
          <w:spacing w:val="-2"/>
          <w:sz w:val="24"/>
          <w:szCs w:val="24"/>
        </w:rPr>
        <w:t>Early MRI Scan</w:t>
      </w:r>
    </w:p>
    <w:p w14:paraId="1A238DE7" w14:textId="4141C379" w:rsidR="00984CD9" w:rsidRPr="0067648D" w:rsidRDefault="00984CD9" w:rsidP="00407A33">
      <w:pPr>
        <w:shd w:val="clear" w:color="auto" w:fill="FFFFFF"/>
        <w:spacing w:before="400" w:line="240" w:lineRule="auto"/>
        <w:contextualSpacing/>
        <w:rPr>
          <w:rFonts w:ascii="Cambria" w:eastAsia="Times New Roman" w:hAnsi="Cambria" w:cs="Times New Roman"/>
          <w:color w:val="212121"/>
          <w:sz w:val="24"/>
          <w:szCs w:val="24"/>
        </w:rPr>
      </w:pPr>
      <w:r w:rsidRPr="00984CD9">
        <w:rPr>
          <w:rFonts w:ascii="Cambria" w:eastAsia="Times New Roman" w:hAnsi="Cambria" w:cs="Times New Roman"/>
          <w:color w:val="212121"/>
          <w:sz w:val="24"/>
          <w:szCs w:val="24"/>
        </w:rPr>
        <w:lastRenderedPageBreak/>
        <w:t>Scans were identified using Current Procedure Terminology codes for LS-MRI (72148, 72158). Scans provided within 6 weeks of the index visit were deemed “early,” which is consistent with guidelines for treatment of low back pain.</w:t>
      </w:r>
      <w:r w:rsidR="00F7290C" w:rsidRPr="0067648D">
        <w:rPr>
          <w:rFonts w:ascii="Cambria" w:eastAsia="Times New Roman" w:hAnsi="Cambria" w:cs="Times New Roman"/>
          <w:color w:val="212121"/>
          <w:sz w:val="24"/>
          <w:szCs w:val="24"/>
        </w:rPr>
        <w:t xml:space="preserve"> </w:t>
      </w:r>
    </w:p>
    <w:p w14:paraId="12F4E0D0" w14:textId="77777777" w:rsidR="0067648D" w:rsidRPr="00984CD9" w:rsidRDefault="0067648D" w:rsidP="00407A33">
      <w:pPr>
        <w:shd w:val="clear" w:color="auto" w:fill="FFFFFF"/>
        <w:spacing w:before="400" w:line="240" w:lineRule="auto"/>
        <w:contextualSpacing/>
        <w:rPr>
          <w:rFonts w:ascii="Cambria" w:eastAsia="Times New Roman" w:hAnsi="Cambria" w:cs="Times New Roman"/>
          <w:color w:val="212121"/>
          <w:sz w:val="24"/>
          <w:szCs w:val="24"/>
        </w:rPr>
      </w:pPr>
    </w:p>
    <w:p w14:paraId="636BCCEB" w14:textId="57613599" w:rsidR="00984CD9" w:rsidRPr="0067648D" w:rsidRDefault="00984CD9" w:rsidP="00407A33">
      <w:pPr>
        <w:shd w:val="clear" w:color="auto" w:fill="FFFFFF"/>
        <w:spacing w:after="200" w:line="240" w:lineRule="auto"/>
        <w:contextualSpacing/>
        <w:outlineLvl w:val="2"/>
        <w:rPr>
          <w:rFonts w:ascii="Cambria" w:eastAsia="Times New Roman" w:hAnsi="Cambria" w:cs="Times New Roman"/>
          <w:color w:val="734126"/>
          <w:spacing w:val="-2"/>
          <w:sz w:val="24"/>
          <w:szCs w:val="24"/>
        </w:rPr>
      </w:pPr>
      <w:r w:rsidRPr="00984CD9">
        <w:rPr>
          <w:rFonts w:ascii="Cambria" w:eastAsia="Times New Roman" w:hAnsi="Cambria" w:cs="Times New Roman"/>
          <w:color w:val="734126"/>
          <w:spacing w:val="-2"/>
          <w:sz w:val="24"/>
          <w:szCs w:val="24"/>
        </w:rPr>
        <w:t>Outcome Measures</w:t>
      </w:r>
    </w:p>
    <w:p w14:paraId="47520499" w14:textId="77777777" w:rsidR="0067648D" w:rsidRPr="00984CD9" w:rsidRDefault="0067648D" w:rsidP="00407A33">
      <w:pPr>
        <w:shd w:val="clear" w:color="auto" w:fill="FFFFFF"/>
        <w:spacing w:after="200" w:line="240" w:lineRule="auto"/>
        <w:contextualSpacing/>
        <w:outlineLvl w:val="2"/>
        <w:rPr>
          <w:rFonts w:ascii="Cambria" w:eastAsia="Times New Roman" w:hAnsi="Cambria" w:cs="Times New Roman"/>
          <w:color w:val="734126"/>
          <w:spacing w:val="-2"/>
          <w:sz w:val="24"/>
          <w:szCs w:val="24"/>
        </w:rPr>
      </w:pPr>
    </w:p>
    <w:p w14:paraId="39A14364" w14:textId="77777777" w:rsidR="00984CD9" w:rsidRPr="00984CD9" w:rsidRDefault="00984CD9" w:rsidP="00407A33">
      <w:pPr>
        <w:shd w:val="clear" w:color="auto" w:fill="FFFFFF"/>
        <w:spacing w:after="0" w:line="240" w:lineRule="auto"/>
        <w:contextualSpacing/>
        <w:outlineLvl w:val="3"/>
        <w:rPr>
          <w:rFonts w:ascii="Cambria" w:eastAsia="Times New Roman" w:hAnsi="Cambria" w:cs="Times New Roman"/>
          <w:color w:val="603620"/>
          <w:spacing w:val="-2"/>
          <w:sz w:val="24"/>
          <w:szCs w:val="24"/>
        </w:rPr>
      </w:pPr>
      <w:r w:rsidRPr="00984CD9">
        <w:rPr>
          <w:rFonts w:ascii="Cambria" w:eastAsia="Times New Roman" w:hAnsi="Cambria" w:cs="Times New Roman"/>
          <w:color w:val="603620"/>
          <w:spacing w:val="-2"/>
          <w:sz w:val="24"/>
          <w:szCs w:val="24"/>
        </w:rPr>
        <w:t>Time Horizon </w:t>
      </w:r>
    </w:p>
    <w:p w14:paraId="7AA31C01" w14:textId="30874F81" w:rsidR="00984CD9" w:rsidRPr="0067648D" w:rsidRDefault="00984CD9" w:rsidP="00407A33">
      <w:pPr>
        <w:shd w:val="clear" w:color="auto" w:fill="FFFFFF"/>
        <w:spacing w:before="400" w:line="240" w:lineRule="auto"/>
        <w:contextualSpacing/>
        <w:rPr>
          <w:rFonts w:ascii="Cambria" w:eastAsia="Times New Roman" w:hAnsi="Cambria" w:cs="Times New Roman"/>
          <w:color w:val="212121"/>
          <w:sz w:val="24"/>
          <w:szCs w:val="24"/>
        </w:rPr>
      </w:pPr>
      <w:r w:rsidRPr="00984CD9">
        <w:rPr>
          <w:rFonts w:ascii="Cambria" w:eastAsia="Times New Roman" w:hAnsi="Cambria" w:cs="Times New Roman"/>
          <w:color w:val="212121"/>
          <w:sz w:val="24"/>
          <w:szCs w:val="24"/>
        </w:rPr>
        <w:t>Outcomes were measured from 43 to 365 days post-index visit, and costs were also measured for the first 42 days. We excluded the 42-day post-index visit, as this was the time period used to assess whether an individual received an early MRI scan.</w:t>
      </w:r>
    </w:p>
    <w:p w14:paraId="5201CD3F" w14:textId="77777777" w:rsidR="0067648D" w:rsidRPr="00984CD9" w:rsidRDefault="0067648D" w:rsidP="00407A33">
      <w:pPr>
        <w:shd w:val="clear" w:color="auto" w:fill="FFFFFF"/>
        <w:spacing w:before="400" w:line="240" w:lineRule="auto"/>
        <w:contextualSpacing/>
        <w:rPr>
          <w:rFonts w:ascii="Cambria" w:eastAsia="Times New Roman" w:hAnsi="Cambria" w:cs="Times New Roman"/>
          <w:color w:val="212121"/>
          <w:sz w:val="24"/>
          <w:szCs w:val="24"/>
        </w:rPr>
      </w:pPr>
    </w:p>
    <w:p w14:paraId="5E7659E8" w14:textId="77777777" w:rsidR="00984CD9" w:rsidRPr="00984CD9" w:rsidRDefault="00984CD9" w:rsidP="00407A33">
      <w:pPr>
        <w:shd w:val="clear" w:color="auto" w:fill="FFFFFF"/>
        <w:spacing w:after="0" w:line="240" w:lineRule="auto"/>
        <w:contextualSpacing/>
        <w:outlineLvl w:val="3"/>
        <w:rPr>
          <w:rFonts w:ascii="Cambria" w:eastAsia="Times New Roman" w:hAnsi="Cambria" w:cs="Times New Roman"/>
          <w:color w:val="603620"/>
          <w:spacing w:val="-2"/>
          <w:sz w:val="24"/>
          <w:szCs w:val="24"/>
        </w:rPr>
      </w:pPr>
      <w:r w:rsidRPr="00984CD9">
        <w:rPr>
          <w:rFonts w:ascii="Cambria" w:eastAsia="Times New Roman" w:hAnsi="Cambria" w:cs="Times New Roman"/>
          <w:color w:val="603620"/>
          <w:spacing w:val="-2"/>
          <w:sz w:val="24"/>
          <w:szCs w:val="24"/>
        </w:rPr>
        <w:t>Probability of Lumbar Surgery </w:t>
      </w:r>
    </w:p>
    <w:p w14:paraId="7D6409BF" w14:textId="4D4DED17" w:rsidR="00984CD9" w:rsidRPr="0067648D" w:rsidRDefault="00984CD9" w:rsidP="00407A33">
      <w:pPr>
        <w:shd w:val="clear" w:color="auto" w:fill="FFFFFF"/>
        <w:spacing w:before="400" w:line="240" w:lineRule="auto"/>
        <w:contextualSpacing/>
        <w:rPr>
          <w:rFonts w:ascii="Cambria" w:eastAsia="Times New Roman" w:hAnsi="Cambria" w:cs="Times New Roman"/>
          <w:color w:val="212121"/>
          <w:sz w:val="24"/>
          <w:szCs w:val="24"/>
        </w:rPr>
      </w:pPr>
      <w:r w:rsidRPr="00984CD9">
        <w:rPr>
          <w:rFonts w:ascii="Cambria" w:eastAsia="Times New Roman" w:hAnsi="Cambria" w:cs="Times New Roman"/>
          <w:color w:val="212121"/>
          <w:sz w:val="24"/>
          <w:szCs w:val="24"/>
        </w:rPr>
        <w:t>Lumbar-related spinal surgeries included surgical procedures conducted on the lumbar, lumbosacral, and thoracolumbar regions in an inpatient or outpatient setting. Surgeries provided in the hospital were identified with procedure codes. Surgeries provided in outpatient settings were identified using CPT codes when the encounter included a diagnosis code for low back pain.</w:t>
      </w:r>
    </w:p>
    <w:p w14:paraId="6D25BB0C" w14:textId="77777777" w:rsidR="0067648D" w:rsidRPr="00984CD9" w:rsidRDefault="0067648D" w:rsidP="00407A33">
      <w:pPr>
        <w:shd w:val="clear" w:color="auto" w:fill="FFFFFF"/>
        <w:spacing w:before="400" w:line="240" w:lineRule="auto"/>
        <w:contextualSpacing/>
        <w:rPr>
          <w:rFonts w:ascii="Cambria" w:eastAsia="Times New Roman" w:hAnsi="Cambria" w:cs="Times New Roman"/>
          <w:color w:val="212121"/>
          <w:sz w:val="24"/>
          <w:szCs w:val="24"/>
        </w:rPr>
      </w:pPr>
    </w:p>
    <w:p w14:paraId="01D6D6E2" w14:textId="77777777" w:rsidR="00984CD9" w:rsidRPr="00984CD9" w:rsidRDefault="00984CD9" w:rsidP="00407A33">
      <w:pPr>
        <w:shd w:val="clear" w:color="auto" w:fill="FFFFFF"/>
        <w:spacing w:after="0" w:line="240" w:lineRule="auto"/>
        <w:contextualSpacing/>
        <w:outlineLvl w:val="3"/>
        <w:rPr>
          <w:rFonts w:ascii="Cambria" w:eastAsia="Times New Roman" w:hAnsi="Cambria" w:cs="Times New Roman"/>
          <w:color w:val="603620"/>
          <w:spacing w:val="-2"/>
          <w:sz w:val="24"/>
          <w:szCs w:val="24"/>
        </w:rPr>
      </w:pPr>
      <w:r w:rsidRPr="00984CD9">
        <w:rPr>
          <w:rFonts w:ascii="Cambria" w:eastAsia="Times New Roman" w:hAnsi="Cambria" w:cs="Times New Roman"/>
          <w:color w:val="603620"/>
          <w:spacing w:val="-2"/>
          <w:sz w:val="24"/>
          <w:szCs w:val="24"/>
        </w:rPr>
        <w:t>Opioid Use </w:t>
      </w:r>
    </w:p>
    <w:p w14:paraId="29FE3E32" w14:textId="5B85BCC2" w:rsidR="00984CD9" w:rsidRPr="0067648D" w:rsidRDefault="00984CD9" w:rsidP="00407A33">
      <w:pPr>
        <w:shd w:val="clear" w:color="auto" w:fill="FFFFFF"/>
        <w:spacing w:before="400" w:line="240" w:lineRule="auto"/>
        <w:contextualSpacing/>
        <w:rPr>
          <w:rFonts w:ascii="Cambria" w:eastAsia="Times New Roman" w:hAnsi="Cambria" w:cs="Times New Roman"/>
          <w:color w:val="212121"/>
          <w:sz w:val="24"/>
          <w:szCs w:val="24"/>
        </w:rPr>
      </w:pPr>
      <w:r w:rsidRPr="00984CD9">
        <w:rPr>
          <w:rFonts w:ascii="Cambria" w:eastAsia="Times New Roman" w:hAnsi="Cambria" w:cs="Times New Roman"/>
          <w:color w:val="212121"/>
          <w:sz w:val="24"/>
          <w:szCs w:val="24"/>
        </w:rPr>
        <w:t>Opioid prescriptions were defined as long-acting opioids, short-acting opioids, and tramadol, with doses converted to morphine equivalents using Centers for Disease Control conversion factors.</w:t>
      </w:r>
      <w:r w:rsidR="0067648D" w:rsidRPr="0067648D">
        <w:rPr>
          <w:rFonts w:ascii="Cambria" w:eastAsia="Times New Roman" w:hAnsi="Cambria" w:cs="Times New Roman"/>
          <w:color w:val="212121"/>
          <w:sz w:val="24"/>
          <w:szCs w:val="24"/>
        </w:rPr>
        <w:t xml:space="preserve"> </w:t>
      </w:r>
    </w:p>
    <w:p w14:paraId="66CD5F30" w14:textId="77777777" w:rsidR="0067648D" w:rsidRPr="00984CD9" w:rsidRDefault="0067648D" w:rsidP="00407A33">
      <w:pPr>
        <w:shd w:val="clear" w:color="auto" w:fill="FFFFFF"/>
        <w:spacing w:before="400" w:line="240" w:lineRule="auto"/>
        <w:contextualSpacing/>
        <w:rPr>
          <w:rFonts w:ascii="Cambria" w:eastAsia="Times New Roman" w:hAnsi="Cambria" w:cs="Times New Roman"/>
          <w:color w:val="212121"/>
          <w:sz w:val="24"/>
          <w:szCs w:val="24"/>
        </w:rPr>
      </w:pPr>
    </w:p>
    <w:p w14:paraId="02ABDCFB" w14:textId="77777777" w:rsidR="00984CD9" w:rsidRPr="00984CD9" w:rsidRDefault="00984CD9" w:rsidP="00407A33">
      <w:pPr>
        <w:shd w:val="clear" w:color="auto" w:fill="FFFFFF"/>
        <w:spacing w:after="200" w:line="240" w:lineRule="auto"/>
        <w:contextualSpacing/>
        <w:outlineLvl w:val="2"/>
        <w:rPr>
          <w:rFonts w:ascii="Cambria" w:eastAsia="Times New Roman" w:hAnsi="Cambria" w:cs="Times New Roman"/>
          <w:color w:val="734126"/>
          <w:spacing w:val="-2"/>
          <w:sz w:val="24"/>
          <w:szCs w:val="24"/>
        </w:rPr>
      </w:pPr>
      <w:r w:rsidRPr="00984CD9">
        <w:rPr>
          <w:rFonts w:ascii="Cambria" w:eastAsia="Times New Roman" w:hAnsi="Cambria" w:cs="Times New Roman"/>
          <w:color w:val="734126"/>
          <w:spacing w:val="-2"/>
          <w:sz w:val="24"/>
          <w:szCs w:val="24"/>
        </w:rPr>
        <w:t>Statistical Analyses</w:t>
      </w:r>
    </w:p>
    <w:p w14:paraId="16493026" w14:textId="154DF28A" w:rsidR="00984CD9" w:rsidRDefault="00984CD9" w:rsidP="00407A33">
      <w:pPr>
        <w:shd w:val="clear" w:color="auto" w:fill="FFFFFF"/>
        <w:spacing w:before="400" w:after="400" w:line="240" w:lineRule="auto"/>
        <w:contextualSpacing/>
        <w:rPr>
          <w:rFonts w:ascii="Cambria" w:eastAsia="Times New Roman" w:hAnsi="Cambria" w:cs="Times New Roman"/>
          <w:color w:val="212121"/>
          <w:sz w:val="24"/>
          <w:szCs w:val="24"/>
        </w:rPr>
      </w:pPr>
      <w:r w:rsidRPr="00984CD9">
        <w:rPr>
          <w:rFonts w:ascii="Cambria" w:eastAsia="Times New Roman" w:hAnsi="Cambria" w:cs="Times New Roman"/>
          <w:color w:val="212121"/>
          <w:sz w:val="24"/>
          <w:szCs w:val="24"/>
        </w:rPr>
        <w:t xml:space="preserve">Baseline characteristics of patients with early MRI were compared with those of patients without early MRI by calculating the standardized difference of the means using pooled variance. </w:t>
      </w:r>
    </w:p>
    <w:p w14:paraId="6A5E55F2" w14:textId="77777777" w:rsidR="00330A87" w:rsidRPr="00984CD9" w:rsidRDefault="00330A87" w:rsidP="00407A33">
      <w:pPr>
        <w:shd w:val="clear" w:color="auto" w:fill="FFFFFF"/>
        <w:spacing w:before="400" w:after="400" w:line="240" w:lineRule="auto"/>
        <w:contextualSpacing/>
        <w:rPr>
          <w:rFonts w:ascii="Cambria" w:eastAsia="Times New Roman" w:hAnsi="Cambria" w:cs="Times New Roman"/>
          <w:color w:val="212121"/>
          <w:sz w:val="24"/>
          <w:szCs w:val="24"/>
        </w:rPr>
      </w:pPr>
    </w:p>
    <w:p w14:paraId="10C8E6AB" w14:textId="5850537B" w:rsidR="00984CD9" w:rsidRPr="0067648D" w:rsidRDefault="00984CD9" w:rsidP="00407A33">
      <w:pPr>
        <w:shd w:val="clear" w:color="auto" w:fill="FFFFFF"/>
        <w:spacing w:before="400" w:after="400" w:line="240" w:lineRule="auto"/>
        <w:contextualSpacing/>
        <w:rPr>
          <w:rFonts w:ascii="Cambria" w:eastAsia="Times New Roman" w:hAnsi="Cambria" w:cs="Times New Roman"/>
          <w:color w:val="212121"/>
          <w:sz w:val="24"/>
          <w:szCs w:val="24"/>
        </w:rPr>
      </w:pPr>
      <w:r w:rsidRPr="00984CD9">
        <w:rPr>
          <w:rFonts w:ascii="Cambria" w:eastAsia="Times New Roman" w:hAnsi="Cambria" w:cs="Times New Roman"/>
          <w:color w:val="212121"/>
          <w:sz w:val="24"/>
          <w:szCs w:val="24"/>
        </w:rPr>
        <w:t>The association between early MRI and each outcome was determined by multivariable regressions controlling for baseline covariates: demographics (age and sex); primary care provider characteristics (whether the patient was assigned to a provider, whether the assigned provider was seen on the index visit, provider’s panel size, and type of clinic visited at the index visit); case-mix (pain score at the index visit, history of opioid use in the prior year, time between the index visit and the last low back pain visit,</w:t>
      </w:r>
      <w:r w:rsidR="00C31094">
        <w:rPr>
          <w:rFonts w:ascii="Cambria" w:eastAsia="Times New Roman" w:hAnsi="Cambria" w:cs="Times New Roman"/>
          <w:color w:val="212121"/>
          <w:sz w:val="24"/>
          <w:szCs w:val="24"/>
        </w:rPr>
        <w:t xml:space="preserve"> and</w:t>
      </w:r>
      <w:r w:rsidRPr="00984CD9">
        <w:rPr>
          <w:rFonts w:ascii="Cambria" w:eastAsia="Times New Roman" w:hAnsi="Cambria" w:cs="Times New Roman"/>
          <w:color w:val="212121"/>
          <w:sz w:val="24"/>
          <w:szCs w:val="24"/>
        </w:rPr>
        <w:t xml:space="preserve"> total VA costs in the prior yea</w:t>
      </w:r>
      <w:r w:rsidR="00C31094">
        <w:rPr>
          <w:rFonts w:ascii="Cambria" w:eastAsia="Times New Roman" w:hAnsi="Cambria" w:cs="Times New Roman"/>
          <w:color w:val="212121"/>
          <w:sz w:val="24"/>
          <w:szCs w:val="24"/>
        </w:rPr>
        <w:t>r</w:t>
      </w:r>
      <w:r w:rsidRPr="00984CD9">
        <w:rPr>
          <w:rFonts w:ascii="Cambria" w:eastAsia="Times New Roman" w:hAnsi="Cambria" w:cs="Times New Roman"/>
          <w:color w:val="212121"/>
          <w:sz w:val="24"/>
          <w:szCs w:val="24"/>
        </w:rPr>
        <w:t>); and indicators for chronic conditions, mental health diagnoses, and pain conditions.</w:t>
      </w:r>
      <w:r w:rsidR="00970423" w:rsidRPr="00970423">
        <w:rPr>
          <w:rFonts w:ascii="Cambria" w:hAnsi="Cambria"/>
          <w:color w:val="212121"/>
          <w:sz w:val="24"/>
          <w:szCs w:val="24"/>
          <w:shd w:val="clear" w:color="auto" w:fill="FFFFFF"/>
        </w:rPr>
        <w:t xml:space="preserve"> Poisson regressions were used to estimate relative risks.</w:t>
      </w:r>
    </w:p>
    <w:p w14:paraId="1B5FC97B" w14:textId="77777777" w:rsidR="0067648D" w:rsidRPr="0067648D" w:rsidRDefault="0067648D" w:rsidP="00407A33">
      <w:pPr>
        <w:pStyle w:val="Heading2"/>
        <w:pBdr>
          <w:bottom w:val="single" w:sz="6" w:space="0" w:color="97B0C8"/>
        </w:pBdr>
        <w:shd w:val="clear" w:color="auto" w:fill="FFFFFF"/>
        <w:spacing w:before="400" w:beforeAutospacing="0" w:after="200" w:afterAutospacing="0"/>
        <w:contextualSpacing/>
        <w:rPr>
          <w:rFonts w:ascii="Cambria" w:hAnsi="Cambria"/>
          <w:b w:val="0"/>
          <w:bCs w:val="0"/>
          <w:color w:val="995733"/>
          <w:spacing w:val="-2"/>
          <w:sz w:val="24"/>
          <w:szCs w:val="24"/>
        </w:rPr>
      </w:pPr>
      <w:r w:rsidRPr="0067648D">
        <w:rPr>
          <w:rFonts w:ascii="Cambria" w:hAnsi="Cambria"/>
          <w:b w:val="0"/>
          <w:bCs w:val="0"/>
          <w:color w:val="995733"/>
          <w:spacing w:val="-2"/>
          <w:sz w:val="24"/>
          <w:szCs w:val="24"/>
        </w:rPr>
        <w:t>RESULTS</w:t>
      </w:r>
    </w:p>
    <w:p w14:paraId="61F71196" w14:textId="77777777" w:rsidR="0016170F" w:rsidRDefault="0067648D" w:rsidP="00407A33">
      <w:pPr>
        <w:pStyle w:val="p"/>
        <w:shd w:val="clear" w:color="auto" w:fill="FFFFFF"/>
        <w:spacing w:before="400" w:beforeAutospacing="0" w:after="400" w:afterAutospacing="0"/>
        <w:contextualSpacing/>
        <w:rPr>
          <w:rFonts w:ascii="Cambria" w:hAnsi="Cambria"/>
          <w:color w:val="212121"/>
        </w:rPr>
      </w:pPr>
      <w:r w:rsidRPr="0067648D">
        <w:rPr>
          <w:rFonts w:ascii="Cambria" w:hAnsi="Cambria"/>
          <w:color w:val="212121"/>
        </w:rPr>
        <w:t>There were 1.17 million VA primary care visits for non-specific low back pain in the year ending June 30, 2016. Applying our exclusion criteria resulted in a cohort of 442,284 observations. Another 22,465 persons were excluded because of missing pain and clinic information from their index visit. This left 405,965 observations for study</w:t>
      </w:r>
      <w:r w:rsidR="0016170F">
        <w:rPr>
          <w:rFonts w:ascii="Cambria" w:hAnsi="Cambria"/>
          <w:color w:val="212121"/>
        </w:rPr>
        <w:t>.</w:t>
      </w:r>
    </w:p>
    <w:p w14:paraId="3A09C7DC" w14:textId="77777777" w:rsidR="0016170F" w:rsidRDefault="0016170F" w:rsidP="00407A33">
      <w:pPr>
        <w:pStyle w:val="p"/>
        <w:shd w:val="clear" w:color="auto" w:fill="FFFFFF"/>
        <w:spacing w:before="400" w:beforeAutospacing="0" w:after="400" w:afterAutospacing="0"/>
        <w:contextualSpacing/>
        <w:rPr>
          <w:rFonts w:ascii="Cambria" w:hAnsi="Cambria"/>
          <w:color w:val="212121"/>
        </w:rPr>
      </w:pPr>
    </w:p>
    <w:p w14:paraId="01D949F0" w14:textId="77777777" w:rsidR="0016170F" w:rsidRDefault="00984CD9" w:rsidP="00407A33">
      <w:pPr>
        <w:pStyle w:val="p"/>
        <w:shd w:val="clear" w:color="auto" w:fill="FFFFFF"/>
        <w:spacing w:before="400" w:beforeAutospacing="0" w:after="400" w:afterAutospacing="0"/>
        <w:contextualSpacing/>
        <w:rPr>
          <w:rFonts w:ascii="Cambria" w:hAnsi="Cambria"/>
          <w:color w:val="212121"/>
          <w:shd w:val="clear" w:color="auto" w:fill="FFFFFF"/>
        </w:rPr>
      </w:pPr>
      <w:r w:rsidRPr="0067648D">
        <w:rPr>
          <w:rFonts w:ascii="Cambria" w:hAnsi="Cambria"/>
          <w:color w:val="212121"/>
          <w:shd w:val="clear" w:color="auto" w:fill="FFFFFF"/>
        </w:rPr>
        <w:lastRenderedPageBreak/>
        <w:t>There were 9977 individuals (2.46%) who received a LS-MRI within 6 weeks of their index visit. Table </w:t>
      </w:r>
      <w:r w:rsidR="0067648D" w:rsidRPr="0067648D">
        <w:rPr>
          <w:rFonts w:ascii="Cambria" w:hAnsi="Cambria"/>
          <w:color w:val="212121"/>
          <w:shd w:val="clear" w:color="auto" w:fill="FFFFFF"/>
        </w:rPr>
        <w:t>1</w:t>
      </w:r>
      <w:r w:rsidRPr="0067648D">
        <w:rPr>
          <w:rFonts w:ascii="Cambria" w:hAnsi="Cambria"/>
          <w:color w:val="212121"/>
          <w:shd w:val="clear" w:color="auto" w:fill="FFFFFF"/>
        </w:rPr>
        <w:t xml:space="preserve"> compares patients with non-specific low back pain who received an early scan with those who did not and summarizes the standardized difference in the means for each variable of interest. Patients with an early scan were younger, were less likely to have an assigned primary care provider, were less likely to have seen their assigned primary care provider, had higher baseline pain, were less likely to have had a back pain episode in the previous 24 months, had fewer chronic conditions, and were less likely to have a diagnosis of hypertension or ischemic heart disease in the prior year. </w:t>
      </w:r>
    </w:p>
    <w:p w14:paraId="0CD6E42F" w14:textId="77777777" w:rsidR="0016170F" w:rsidRDefault="0016170F" w:rsidP="00407A33">
      <w:pPr>
        <w:pStyle w:val="p"/>
        <w:shd w:val="clear" w:color="auto" w:fill="FFFFFF"/>
        <w:spacing w:before="400" w:beforeAutospacing="0" w:after="400" w:afterAutospacing="0"/>
        <w:contextualSpacing/>
        <w:rPr>
          <w:rFonts w:ascii="Cambria" w:hAnsi="Cambria"/>
          <w:color w:val="212121"/>
          <w:shd w:val="clear" w:color="auto" w:fill="FFFFFF"/>
        </w:rPr>
      </w:pPr>
    </w:p>
    <w:p w14:paraId="59F19599" w14:textId="77777777" w:rsidR="0016170F" w:rsidRDefault="00984CD9" w:rsidP="00407A33">
      <w:pPr>
        <w:pStyle w:val="p"/>
        <w:shd w:val="clear" w:color="auto" w:fill="FFFFFF"/>
        <w:spacing w:before="400" w:beforeAutospacing="0" w:after="400" w:afterAutospacing="0"/>
        <w:contextualSpacing/>
        <w:rPr>
          <w:rFonts w:ascii="Cambria" w:hAnsi="Cambria"/>
          <w:color w:val="212121"/>
          <w:shd w:val="clear" w:color="auto" w:fill="FFFFFF"/>
        </w:rPr>
      </w:pPr>
      <w:r w:rsidRPr="0067648D">
        <w:rPr>
          <w:rFonts w:ascii="Cambria" w:hAnsi="Cambria"/>
          <w:color w:val="212121"/>
          <w:shd w:val="clear" w:color="auto" w:fill="FFFFFF"/>
        </w:rPr>
        <w:t>Table </w:t>
      </w:r>
      <w:r w:rsidR="007E11DF">
        <w:t>2</w:t>
      </w:r>
      <w:r w:rsidRPr="0067648D">
        <w:rPr>
          <w:rFonts w:ascii="Cambria" w:hAnsi="Cambria"/>
          <w:color w:val="212121"/>
          <w:shd w:val="clear" w:color="auto" w:fill="FFFFFF"/>
        </w:rPr>
        <w:t> summarizes unadjusted means and proportions of the outcome variables during the follow-up period. Compared with patients who did not receive an early scan, patients with an early MRI had more lumbar surgery (1.49% vs. 0.09%)</w:t>
      </w:r>
      <w:r w:rsidR="007E11DF">
        <w:rPr>
          <w:rFonts w:ascii="Cambria" w:hAnsi="Cambria"/>
          <w:color w:val="212121"/>
          <w:shd w:val="clear" w:color="auto" w:fill="FFFFFF"/>
        </w:rPr>
        <w:t xml:space="preserve"> and</w:t>
      </w:r>
      <w:r w:rsidRPr="0067648D">
        <w:rPr>
          <w:rFonts w:ascii="Cambria" w:hAnsi="Cambria"/>
          <w:color w:val="212121"/>
          <w:shd w:val="clear" w:color="auto" w:fill="FFFFFF"/>
        </w:rPr>
        <w:t xml:space="preserve"> were more likely to receive a prescription for opioids (36.7% vs. 28.5%)</w:t>
      </w:r>
      <w:r w:rsidR="007E11DF">
        <w:rPr>
          <w:rFonts w:ascii="Cambria" w:hAnsi="Cambria"/>
          <w:color w:val="212121"/>
          <w:shd w:val="clear" w:color="auto" w:fill="FFFFFF"/>
        </w:rPr>
        <w:t>.</w:t>
      </w:r>
    </w:p>
    <w:p w14:paraId="6E3527CC" w14:textId="77777777" w:rsidR="0016170F" w:rsidRDefault="0016170F" w:rsidP="00407A33">
      <w:pPr>
        <w:pStyle w:val="p"/>
        <w:shd w:val="clear" w:color="auto" w:fill="FFFFFF"/>
        <w:spacing w:before="400" w:beforeAutospacing="0" w:after="400" w:afterAutospacing="0"/>
        <w:contextualSpacing/>
        <w:rPr>
          <w:rFonts w:ascii="Cambria" w:hAnsi="Cambria"/>
          <w:color w:val="212121"/>
          <w:shd w:val="clear" w:color="auto" w:fill="FFFFFF"/>
        </w:rPr>
      </w:pPr>
    </w:p>
    <w:p w14:paraId="374FC678" w14:textId="2404FB9B" w:rsidR="00F7290C" w:rsidRPr="0016170F" w:rsidRDefault="00984CD9" w:rsidP="00407A33">
      <w:pPr>
        <w:pStyle w:val="p"/>
        <w:shd w:val="clear" w:color="auto" w:fill="FFFFFF"/>
        <w:spacing w:before="400" w:beforeAutospacing="0" w:after="400" w:afterAutospacing="0"/>
        <w:contextualSpacing/>
        <w:rPr>
          <w:rFonts w:ascii="Cambria" w:hAnsi="Cambria"/>
          <w:color w:val="212121"/>
        </w:rPr>
      </w:pPr>
      <w:r w:rsidRPr="0067648D">
        <w:rPr>
          <w:rFonts w:ascii="Cambria" w:hAnsi="Cambria"/>
          <w:color w:val="212121"/>
          <w:shd w:val="clear" w:color="auto" w:fill="FFFFFF"/>
        </w:rPr>
        <w:t>Table </w:t>
      </w:r>
      <w:r w:rsidR="007E11DF">
        <w:t>3</w:t>
      </w:r>
      <w:r w:rsidRPr="0067648D">
        <w:rPr>
          <w:rFonts w:ascii="Cambria" w:hAnsi="Cambria"/>
          <w:color w:val="212121"/>
          <w:shd w:val="clear" w:color="auto" w:fill="FFFFFF"/>
        </w:rPr>
        <w:t xml:space="preserve"> presents analyses with adjustment for baseline covariates. </w:t>
      </w:r>
      <w:r w:rsidR="007E11DF">
        <w:rPr>
          <w:rFonts w:ascii="Cambria" w:hAnsi="Cambria"/>
          <w:color w:val="212121"/>
          <w:shd w:val="clear" w:color="auto" w:fill="FFFFFF"/>
        </w:rPr>
        <w:t>C</w:t>
      </w:r>
      <w:r w:rsidRPr="0067648D">
        <w:rPr>
          <w:rFonts w:ascii="Cambria" w:hAnsi="Cambria"/>
          <w:color w:val="212121"/>
          <w:shd w:val="clear" w:color="auto" w:fill="FFFFFF"/>
        </w:rPr>
        <w:t xml:space="preserve">ovariate adjustment resulted in a small attenuation of the estimated association between early scans and outcomes. Using the </w:t>
      </w:r>
      <w:r w:rsidR="007E11DF">
        <w:rPr>
          <w:rFonts w:ascii="Cambria" w:hAnsi="Cambria"/>
          <w:color w:val="212121"/>
          <w:shd w:val="clear" w:color="auto" w:fill="FFFFFF"/>
        </w:rPr>
        <w:t>Poisson</w:t>
      </w:r>
      <w:r w:rsidRPr="0067648D">
        <w:rPr>
          <w:rFonts w:ascii="Cambria" w:hAnsi="Cambria"/>
          <w:color w:val="212121"/>
          <w:shd w:val="clear" w:color="auto" w:fill="FFFFFF"/>
        </w:rPr>
        <w:t xml:space="preserve"> model, receipt of an early scan was associated with a higher risk of lumbar surgery (adjusted relative risk 12.7 [95% CI 10.3–15.5]). </w:t>
      </w:r>
      <w:r w:rsidR="007E11DF">
        <w:rPr>
          <w:rFonts w:ascii="Cambria" w:hAnsi="Cambria"/>
          <w:color w:val="212121"/>
          <w:shd w:val="clear" w:color="auto" w:fill="FFFFFF"/>
        </w:rPr>
        <w:t xml:space="preserve">Early </w:t>
      </w:r>
      <w:r w:rsidRPr="0067648D">
        <w:rPr>
          <w:rFonts w:ascii="Cambria" w:hAnsi="Cambria"/>
          <w:color w:val="212121"/>
          <w:shd w:val="clear" w:color="auto" w:fill="FFFFFF"/>
        </w:rPr>
        <w:t xml:space="preserve">MRI was also associated with a greater likelihood of receiving a prescription for opioids (adjusted relative risk 1.23 [95% CI 1.20–1.27]). </w:t>
      </w:r>
    </w:p>
    <w:p w14:paraId="64CE1519" w14:textId="77777777" w:rsidR="0067648D" w:rsidRPr="0067648D" w:rsidRDefault="0067648D" w:rsidP="00407A33">
      <w:pPr>
        <w:pStyle w:val="Heading2"/>
        <w:pBdr>
          <w:bottom w:val="single" w:sz="6" w:space="0" w:color="97B0C8"/>
        </w:pBdr>
        <w:shd w:val="clear" w:color="auto" w:fill="FFFFFF"/>
        <w:spacing w:before="400" w:beforeAutospacing="0" w:after="200" w:afterAutospacing="0"/>
        <w:contextualSpacing/>
        <w:rPr>
          <w:rFonts w:ascii="Cambria" w:hAnsi="Cambria"/>
          <w:b w:val="0"/>
          <w:bCs w:val="0"/>
          <w:color w:val="995733"/>
          <w:spacing w:val="-2"/>
          <w:sz w:val="24"/>
          <w:szCs w:val="24"/>
        </w:rPr>
      </w:pPr>
      <w:r w:rsidRPr="0067648D">
        <w:rPr>
          <w:rFonts w:ascii="Cambria" w:hAnsi="Cambria"/>
          <w:b w:val="0"/>
          <w:bCs w:val="0"/>
          <w:color w:val="995733"/>
          <w:spacing w:val="-2"/>
          <w:sz w:val="24"/>
          <w:szCs w:val="24"/>
        </w:rPr>
        <w:t>DISCUSSION</w:t>
      </w:r>
    </w:p>
    <w:p w14:paraId="01CEC840" w14:textId="77777777" w:rsidR="0016170F" w:rsidRDefault="0067648D" w:rsidP="00407A33">
      <w:pPr>
        <w:pStyle w:val="p"/>
        <w:shd w:val="clear" w:color="auto" w:fill="FFFFFF"/>
        <w:spacing w:before="400" w:beforeAutospacing="0" w:after="400" w:afterAutospacing="0"/>
        <w:contextualSpacing/>
        <w:rPr>
          <w:rFonts w:ascii="Cambria" w:hAnsi="Cambria"/>
          <w:color w:val="212121"/>
        </w:rPr>
      </w:pPr>
      <w:r w:rsidRPr="0067648D">
        <w:rPr>
          <w:rFonts w:ascii="Cambria" w:hAnsi="Cambria"/>
          <w:color w:val="212121"/>
        </w:rPr>
        <w:t>This study found that an MRI of the lumbar spine provided early in episodes of non-specific low back pain was associated with more surgery</w:t>
      </w:r>
      <w:r w:rsidR="0016170F">
        <w:rPr>
          <w:rFonts w:ascii="Cambria" w:hAnsi="Cambria"/>
          <w:color w:val="212121"/>
        </w:rPr>
        <w:t xml:space="preserve"> and </w:t>
      </w:r>
      <w:r w:rsidRPr="0067648D">
        <w:rPr>
          <w:rFonts w:ascii="Cambria" w:hAnsi="Cambria"/>
          <w:color w:val="212121"/>
        </w:rPr>
        <w:t>greater prescription opioid use. Lumbar surgery was 13 times more likely in the group with early MRI compared with that in those without an early scan (1.48% vs. 0.09%). This is consistent with other observational studies, where surgery was 5 to 20 times more likely among those receiving an early MRI. Absolute rates of surgery in this study were much lower than in these other studies, however. In those studies, lumbar surgery was provided in 14–22% of those with an early scan and in 1–3% without an early scan. These studies had approximately 10 times that rate of lumbar surgery that we observed in VA.</w:t>
      </w:r>
    </w:p>
    <w:p w14:paraId="0F62EE30" w14:textId="77777777" w:rsidR="0016170F" w:rsidRDefault="0016170F" w:rsidP="00407A33">
      <w:pPr>
        <w:pStyle w:val="p"/>
        <w:shd w:val="clear" w:color="auto" w:fill="FFFFFF"/>
        <w:spacing w:before="400" w:beforeAutospacing="0" w:after="400" w:afterAutospacing="0"/>
        <w:contextualSpacing/>
        <w:rPr>
          <w:rFonts w:ascii="Cambria" w:hAnsi="Cambria"/>
          <w:color w:val="212121"/>
        </w:rPr>
      </w:pPr>
    </w:p>
    <w:p w14:paraId="7019F24A" w14:textId="77777777" w:rsidR="0016170F" w:rsidRDefault="00F7290C" w:rsidP="00407A33">
      <w:pPr>
        <w:pStyle w:val="p"/>
        <w:shd w:val="clear" w:color="auto" w:fill="FFFFFF"/>
        <w:spacing w:before="400" w:beforeAutospacing="0" w:after="400" w:afterAutospacing="0"/>
        <w:contextualSpacing/>
        <w:rPr>
          <w:rFonts w:ascii="Cambria" w:hAnsi="Cambria"/>
          <w:color w:val="212121"/>
        </w:rPr>
      </w:pPr>
      <w:r w:rsidRPr="0067648D">
        <w:rPr>
          <w:rFonts w:ascii="Cambria" w:hAnsi="Cambria"/>
          <w:color w:val="212121"/>
        </w:rPr>
        <w:t>The finding that early MRI was associated with greater use of opioids over the follow-up period appears to be a unique contribution of this study—one that is especially important given concerns over hazards resulting from over-prescription of opioids for pain. We found only one clinical trial that considered this outcome, and it found no significant association between early MRI and prescription opioid use.</w:t>
      </w:r>
      <w:r w:rsidR="0067648D" w:rsidRPr="0067648D">
        <w:rPr>
          <w:rFonts w:ascii="Cambria" w:hAnsi="Cambria"/>
          <w:color w:val="212121"/>
        </w:rPr>
        <w:t xml:space="preserve"> </w:t>
      </w:r>
      <w:r w:rsidRPr="0067648D">
        <w:rPr>
          <w:rFonts w:ascii="Cambria" w:hAnsi="Cambria"/>
          <w:color w:val="212121"/>
        </w:rPr>
        <w:t>Other studies did not consider this outcome.</w:t>
      </w:r>
    </w:p>
    <w:p w14:paraId="3E0A5459" w14:textId="77777777" w:rsidR="0016170F" w:rsidRDefault="0016170F" w:rsidP="00407A33">
      <w:pPr>
        <w:pStyle w:val="p"/>
        <w:shd w:val="clear" w:color="auto" w:fill="FFFFFF"/>
        <w:spacing w:before="400" w:beforeAutospacing="0" w:after="400" w:afterAutospacing="0"/>
        <w:contextualSpacing/>
        <w:rPr>
          <w:rFonts w:ascii="Cambria" w:hAnsi="Cambria"/>
          <w:color w:val="212121"/>
        </w:rPr>
      </w:pPr>
    </w:p>
    <w:p w14:paraId="22ABC8CD" w14:textId="3F651BB8" w:rsidR="0016170F" w:rsidRDefault="00F7290C" w:rsidP="00407A33">
      <w:pPr>
        <w:pStyle w:val="p"/>
        <w:shd w:val="clear" w:color="auto" w:fill="FFFFFF"/>
        <w:spacing w:before="400" w:beforeAutospacing="0" w:after="400" w:afterAutospacing="0"/>
        <w:contextualSpacing/>
        <w:rPr>
          <w:rFonts w:ascii="Cambria" w:hAnsi="Cambria"/>
          <w:color w:val="212121"/>
        </w:rPr>
      </w:pPr>
      <w:r w:rsidRPr="0067648D">
        <w:rPr>
          <w:rFonts w:ascii="Cambria" w:hAnsi="Cambria"/>
          <w:color w:val="212121"/>
        </w:rPr>
        <w:t>Early MRI was provided to 2.46% of this cohort. This is a lower rate than in other studies</w:t>
      </w:r>
      <w:r w:rsidR="00C43FC3">
        <w:rPr>
          <w:rFonts w:ascii="Cambria" w:hAnsi="Cambria"/>
          <w:color w:val="212121"/>
        </w:rPr>
        <w:t xml:space="preserve">. </w:t>
      </w:r>
      <w:r w:rsidRPr="0067648D">
        <w:rPr>
          <w:rFonts w:ascii="Cambria" w:hAnsi="Cambria"/>
          <w:color w:val="212121"/>
        </w:rPr>
        <w:t xml:space="preserve">It may also be lower than expected because VA providers are salaried and not affected by financial incentives present in fee-for-service settings. Self-referral drives some of the high use of LS-MRI in patients sponsored by Medicare, although Federal statutes on self-referral may have reduced this practice. In addition, it is possible that VA providers are less likely to </w:t>
      </w:r>
      <w:r w:rsidRPr="0067648D">
        <w:rPr>
          <w:rFonts w:ascii="Cambria" w:hAnsi="Cambria"/>
          <w:color w:val="212121"/>
        </w:rPr>
        <w:lastRenderedPageBreak/>
        <w:t>practice “defensive medicine,” as malpractice liability in the VA system is the responsibility of the Federal government.</w:t>
      </w:r>
    </w:p>
    <w:p w14:paraId="3485A7B8" w14:textId="77777777" w:rsidR="0016170F" w:rsidRDefault="0016170F" w:rsidP="00407A33">
      <w:pPr>
        <w:pStyle w:val="p"/>
        <w:shd w:val="clear" w:color="auto" w:fill="FFFFFF"/>
        <w:spacing w:before="400" w:beforeAutospacing="0" w:after="400" w:afterAutospacing="0"/>
        <w:contextualSpacing/>
        <w:rPr>
          <w:rFonts w:ascii="Cambria" w:hAnsi="Cambria"/>
          <w:color w:val="212121"/>
        </w:rPr>
      </w:pPr>
    </w:p>
    <w:p w14:paraId="405693B3" w14:textId="33433644" w:rsidR="007E11DF" w:rsidRDefault="00F7290C" w:rsidP="00407A33">
      <w:pPr>
        <w:pStyle w:val="p"/>
        <w:shd w:val="clear" w:color="auto" w:fill="FFFFFF"/>
        <w:spacing w:before="400" w:beforeAutospacing="0" w:after="400" w:afterAutospacing="0"/>
        <w:contextualSpacing/>
        <w:rPr>
          <w:rFonts w:ascii="Cambria" w:hAnsi="Cambria"/>
          <w:color w:val="212121"/>
        </w:rPr>
      </w:pPr>
      <w:r w:rsidRPr="0067648D">
        <w:rPr>
          <w:rFonts w:ascii="Cambria" w:hAnsi="Cambria"/>
          <w:color w:val="212121"/>
        </w:rPr>
        <w:t>This study used electronic health records to assemble the largest cohort used to estimate the downstream consequences of early MRI. The size of this cohort (</w:t>
      </w:r>
      <w:r w:rsidRPr="0067648D">
        <w:rPr>
          <w:rStyle w:val="Emphasis"/>
          <w:rFonts w:ascii="Cambria" w:hAnsi="Cambria"/>
          <w:color w:val="212121"/>
        </w:rPr>
        <w:t>N</w:t>
      </w:r>
      <w:r w:rsidRPr="0067648D">
        <w:rPr>
          <w:rFonts w:ascii="Cambria" w:hAnsi="Cambria"/>
          <w:color w:val="212121"/>
        </w:rPr>
        <w:t> = 405,965) was more than 10 times the size of other observational studies</w:t>
      </w:r>
      <w:r w:rsidR="0067648D" w:rsidRPr="0067648D">
        <w:rPr>
          <w:rFonts w:ascii="Cambria" w:hAnsi="Cambria"/>
          <w:color w:val="212121"/>
        </w:rPr>
        <w:t xml:space="preserve"> </w:t>
      </w:r>
      <w:r w:rsidRPr="0067648D">
        <w:rPr>
          <w:rFonts w:ascii="Cambria" w:hAnsi="Cambria"/>
          <w:color w:val="212121"/>
        </w:rPr>
        <w:t xml:space="preserve">and more than 400 times the size of clinical trials that addressed this issue. While large cohort studies have the advantage of gathering evidence from generalized, real-world experience, they must address the problem of selection bias: patients were not randomized to receive an early scan. </w:t>
      </w:r>
    </w:p>
    <w:p w14:paraId="77BCBC06" w14:textId="77777777" w:rsidR="007E11DF" w:rsidRDefault="007E11DF" w:rsidP="00407A33">
      <w:pPr>
        <w:pStyle w:val="p"/>
        <w:shd w:val="clear" w:color="auto" w:fill="FFFFFF"/>
        <w:spacing w:before="400" w:beforeAutospacing="0" w:after="400" w:afterAutospacing="0"/>
        <w:contextualSpacing/>
        <w:rPr>
          <w:rFonts w:ascii="Cambria" w:hAnsi="Cambria"/>
          <w:color w:val="212121"/>
        </w:rPr>
      </w:pPr>
    </w:p>
    <w:p w14:paraId="301C878E" w14:textId="5BF14D87" w:rsidR="0016170F" w:rsidRDefault="007E11DF" w:rsidP="00407A33">
      <w:pPr>
        <w:pStyle w:val="p"/>
        <w:shd w:val="clear" w:color="auto" w:fill="FFFFFF"/>
        <w:spacing w:before="400" w:beforeAutospacing="0" w:after="400" w:afterAutospacing="0"/>
        <w:contextualSpacing/>
        <w:rPr>
          <w:rFonts w:ascii="Cambria" w:hAnsi="Cambria"/>
          <w:color w:val="212121"/>
          <w:shd w:val="clear" w:color="auto" w:fill="FFFFFF"/>
        </w:rPr>
      </w:pPr>
      <w:r>
        <w:rPr>
          <w:rFonts w:ascii="Cambria" w:hAnsi="Cambria"/>
          <w:color w:val="212121"/>
          <w:shd w:val="clear" w:color="auto" w:fill="FFFFFF"/>
        </w:rPr>
        <w:t xml:space="preserve">We </w:t>
      </w:r>
      <w:r w:rsidR="00F7290C" w:rsidRPr="0067648D">
        <w:rPr>
          <w:rFonts w:ascii="Cambria" w:hAnsi="Cambria"/>
          <w:color w:val="212121"/>
          <w:shd w:val="clear" w:color="auto" w:fill="FFFFFF"/>
        </w:rPr>
        <w:t>rely on the untestable assumption that observable characteristics explained the exposure of interest. As such, we cannot be certain that downstream surgeries</w:t>
      </w:r>
      <w:r w:rsidR="00F2175F">
        <w:rPr>
          <w:rFonts w:ascii="Cambria" w:hAnsi="Cambria"/>
          <w:color w:val="212121"/>
          <w:shd w:val="clear" w:color="auto" w:fill="FFFFFF"/>
        </w:rPr>
        <w:t xml:space="preserve"> </w:t>
      </w:r>
      <w:r w:rsidR="00F7290C" w:rsidRPr="0067648D">
        <w:rPr>
          <w:rFonts w:ascii="Cambria" w:hAnsi="Cambria"/>
          <w:color w:val="212121"/>
          <w:shd w:val="clear" w:color="auto" w:fill="FFFFFF"/>
        </w:rPr>
        <w:t xml:space="preserve">and opioid use directly resulted from early MRIs. Our measures of the potential benefit of early MRI were limited. </w:t>
      </w:r>
    </w:p>
    <w:p w14:paraId="1391A4C5" w14:textId="77777777" w:rsidR="0016170F" w:rsidRDefault="0016170F" w:rsidP="00407A33">
      <w:pPr>
        <w:pStyle w:val="p"/>
        <w:shd w:val="clear" w:color="auto" w:fill="FFFFFF"/>
        <w:spacing w:before="400" w:beforeAutospacing="0" w:after="400" w:afterAutospacing="0"/>
        <w:contextualSpacing/>
        <w:rPr>
          <w:rFonts w:ascii="Cambria" w:hAnsi="Cambria"/>
          <w:color w:val="212121"/>
          <w:shd w:val="clear" w:color="auto" w:fill="FFFFFF"/>
        </w:rPr>
      </w:pPr>
    </w:p>
    <w:p w14:paraId="375F0980" w14:textId="2E737DD8" w:rsidR="00F7290C" w:rsidRDefault="00F7290C" w:rsidP="00407A33">
      <w:pPr>
        <w:pStyle w:val="p"/>
        <w:shd w:val="clear" w:color="auto" w:fill="FFFFFF"/>
        <w:spacing w:before="400" w:beforeAutospacing="0" w:after="400" w:afterAutospacing="0"/>
        <w:contextualSpacing/>
        <w:rPr>
          <w:rFonts w:ascii="Cambria" w:hAnsi="Cambria"/>
          <w:color w:val="212121"/>
          <w:shd w:val="clear" w:color="auto" w:fill="FFFFFF"/>
        </w:rPr>
      </w:pPr>
      <w:r w:rsidRPr="0067648D">
        <w:rPr>
          <w:rFonts w:ascii="Cambria" w:hAnsi="Cambria"/>
          <w:color w:val="212121"/>
          <w:shd w:val="clear" w:color="auto" w:fill="FFFFFF"/>
        </w:rPr>
        <w:t>This study confirms that early LS-MRI is associated with increased surgery. It expands upon prior studies by finding that early MRI is associated with</w:t>
      </w:r>
      <w:r w:rsidR="0016170F">
        <w:rPr>
          <w:rFonts w:ascii="Cambria" w:hAnsi="Cambria"/>
          <w:color w:val="212121"/>
          <w:shd w:val="clear" w:color="auto" w:fill="FFFFFF"/>
        </w:rPr>
        <w:t xml:space="preserve"> </w:t>
      </w:r>
      <w:r w:rsidRPr="0067648D">
        <w:rPr>
          <w:rFonts w:ascii="Cambria" w:hAnsi="Cambria"/>
          <w:color w:val="212121"/>
          <w:shd w:val="clear" w:color="auto" w:fill="FFFFFF"/>
        </w:rPr>
        <w:t>greater use of prescription opioids. An MRI provided early in episodes of uncomplicated non-specific low back pain not only is, therefore, an unnecessary expense, but also is associated with the potential harms of prescription opioids: their side effects, risk of abuse, and potential for overdose.</w:t>
      </w:r>
    </w:p>
    <w:p w14:paraId="5D92F64D" w14:textId="71B700D0" w:rsidR="00407A33" w:rsidRDefault="00407A33" w:rsidP="00407A33">
      <w:pPr>
        <w:pStyle w:val="p"/>
        <w:shd w:val="clear" w:color="auto" w:fill="FFFFFF"/>
        <w:spacing w:before="400" w:beforeAutospacing="0" w:after="400" w:afterAutospacing="0"/>
        <w:contextualSpacing/>
        <w:rPr>
          <w:rFonts w:ascii="Cambria" w:hAnsi="Cambria"/>
          <w:color w:val="212121"/>
          <w:shd w:val="clear" w:color="auto" w:fill="FFFFFF"/>
        </w:rPr>
      </w:pPr>
    </w:p>
    <w:p w14:paraId="14A7172A" w14:textId="66783241" w:rsidR="00407A33" w:rsidRPr="00407A33" w:rsidRDefault="00407A33" w:rsidP="00407A33">
      <w:pPr>
        <w:pStyle w:val="p"/>
        <w:shd w:val="clear" w:color="auto" w:fill="FFFFFF"/>
        <w:spacing w:before="400" w:beforeAutospacing="0" w:after="400" w:afterAutospacing="0"/>
        <w:contextualSpacing/>
        <w:rPr>
          <w:rFonts w:ascii="Cambria" w:hAnsi="Cambria"/>
          <w:b/>
          <w:bCs/>
          <w:color w:val="212121"/>
          <w:shd w:val="clear" w:color="auto" w:fill="FFFFFF"/>
        </w:rPr>
      </w:pPr>
      <w:r w:rsidRPr="00407A33">
        <w:rPr>
          <w:rFonts w:ascii="Cambria" w:hAnsi="Cambria"/>
          <w:b/>
          <w:bCs/>
          <w:color w:val="212121"/>
          <w:shd w:val="clear" w:color="auto" w:fill="FFFFFF"/>
        </w:rPr>
        <w:t>Table 1</w:t>
      </w:r>
    </w:p>
    <w:tbl>
      <w:tblPr>
        <w:tblW w:w="0" w:type="auto"/>
        <w:tblBorders>
          <w:top w:val="single" w:sz="8" w:space="0" w:color="000000"/>
          <w:insideH w:val="single" w:sz="4" w:space="0" w:color="auto"/>
          <w:insideV w:val="single" w:sz="4" w:space="0" w:color="auto"/>
        </w:tblBorders>
        <w:tblLook w:val="04A0" w:firstRow="1" w:lastRow="0" w:firstColumn="1" w:lastColumn="0" w:noHBand="0" w:noVBand="1"/>
      </w:tblPr>
      <w:tblGrid>
        <w:gridCol w:w="3326"/>
        <w:gridCol w:w="1675"/>
        <w:gridCol w:w="2054"/>
        <w:gridCol w:w="2305"/>
      </w:tblGrid>
      <w:tr w:rsidR="00407A33" w:rsidRPr="00407A33" w14:paraId="6E143F70" w14:textId="77777777" w:rsidTr="00407A33">
        <w:trPr>
          <w:trHeight w:val="504"/>
        </w:trPr>
        <w:tc>
          <w:tcPr>
            <w:tcW w:w="0" w:type="auto"/>
            <w:shd w:val="clear" w:color="auto" w:fill="auto"/>
            <w:hideMark/>
          </w:tcPr>
          <w:p w14:paraId="7221C61E" w14:textId="77777777" w:rsidR="00407A33" w:rsidRPr="00407A33" w:rsidRDefault="00407A33" w:rsidP="00407A33">
            <w:pPr>
              <w:spacing w:after="0" w:line="240" w:lineRule="auto"/>
              <w:contextualSpacing/>
              <w:rPr>
                <w:rFonts w:ascii="Cambria" w:eastAsia="Times New Roman" w:hAnsi="Cambria" w:cs="Calibri"/>
                <w:b/>
                <w:bCs/>
                <w:color w:val="000000"/>
                <w:sz w:val="20"/>
                <w:szCs w:val="20"/>
              </w:rPr>
            </w:pPr>
            <w:r w:rsidRPr="00407A33">
              <w:rPr>
                <w:rFonts w:ascii="Cambria" w:eastAsia="Times New Roman" w:hAnsi="Cambria" w:cs="Calibri"/>
                <w:b/>
                <w:bCs/>
                <w:color w:val="000000"/>
                <w:sz w:val="20"/>
                <w:szCs w:val="20"/>
              </w:rPr>
              <w:t>Patient characteristic</w:t>
            </w:r>
          </w:p>
        </w:tc>
        <w:tc>
          <w:tcPr>
            <w:tcW w:w="0" w:type="auto"/>
            <w:shd w:val="clear" w:color="auto" w:fill="auto"/>
            <w:hideMark/>
          </w:tcPr>
          <w:p w14:paraId="14BA5893" w14:textId="77777777" w:rsidR="00407A33" w:rsidRPr="00407A33" w:rsidRDefault="00407A33" w:rsidP="00407A33">
            <w:pPr>
              <w:spacing w:after="0" w:line="240" w:lineRule="auto"/>
              <w:contextualSpacing/>
              <w:rPr>
                <w:rFonts w:ascii="Cambria" w:eastAsia="Times New Roman" w:hAnsi="Cambria" w:cs="Calibri"/>
                <w:b/>
                <w:bCs/>
                <w:color w:val="000000"/>
                <w:sz w:val="20"/>
                <w:szCs w:val="20"/>
              </w:rPr>
            </w:pPr>
            <w:r w:rsidRPr="00407A33">
              <w:rPr>
                <w:rFonts w:ascii="Cambria" w:eastAsia="Times New Roman" w:hAnsi="Cambria" w:cs="Calibri"/>
                <w:b/>
                <w:bCs/>
                <w:color w:val="000000"/>
                <w:sz w:val="20"/>
                <w:szCs w:val="20"/>
              </w:rPr>
              <w:t>With early MRI (</w:t>
            </w:r>
            <w:r w:rsidRPr="00407A33">
              <w:rPr>
                <w:rFonts w:ascii="Cambria" w:eastAsia="Times New Roman" w:hAnsi="Cambria" w:cs="Calibri"/>
                <w:b/>
                <w:bCs/>
                <w:i/>
                <w:iCs/>
                <w:color w:val="000000"/>
                <w:sz w:val="20"/>
                <w:szCs w:val="20"/>
              </w:rPr>
              <w:t>N</w:t>
            </w:r>
            <w:r w:rsidRPr="00407A33">
              <w:rPr>
                <w:rFonts w:ascii="Cambria" w:eastAsia="Times New Roman" w:hAnsi="Cambria" w:cs="Calibri"/>
                <w:b/>
                <w:bCs/>
                <w:color w:val="000000"/>
                <w:sz w:val="20"/>
                <w:szCs w:val="20"/>
              </w:rPr>
              <w:t> = 9,977)</w:t>
            </w:r>
          </w:p>
        </w:tc>
        <w:tc>
          <w:tcPr>
            <w:tcW w:w="0" w:type="auto"/>
            <w:shd w:val="clear" w:color="auto" w:fill="auto"/>
            <w:hideMark/>
          </w:tcPr>
          <w:p w14:paraId="4BE4B3A1" w14:textId="77777777" w:rsidR="00407A33" w:rsidRPr="00407A33" w:rsidRDefault="00407A33" w:rsidP="00407A33">
            <w:pPr>
              <w:spacing w:after="0" w:line="240" w:lineRule="auto"/>
              <w:contextualSpacing/>
              <w:rPr>
                <w:rFonts w:ascii="Cambria" w:eastAsia="Times New Roman" w:hAnsi="Cambria" w:cs="Calibri"/>
                <w:b/>
                <w:bCs/>
                <w:color w:val="000000"/>
                <w:sz w:val="20"/>
                <w:szCs w:val="20"/>
              </w:rPr>
            </w:pPr>
            <w:r w:rsidRPr="00407A33">
              <w:rPr>
                <w:rFonts w:ascii="Cambria" w:eastAsia="Times New Roman" w:hAnsi="Cambria" w:cs="Calibri"/>
                <w:b/>
                <w:bCs/>
                <w:color w:val="000000"/>
                <w:sz w:val="20"/>
                <w:szCs w:val="20"/>
              </w:rPr>
              <w:t>Without early MRI (</w:t>
            </w:r>
            <w:r w:rsidRPr="00407A33">
              <w:rPr>
                <w:rFonts w:ascii="Cambria" w:eastAsia="Times New Roman" w:hAnsi="Cambria" w:cs="Calibri"/>
                <w:b/>
                <w:bCs/>
                <w:i/>
                <w:iCs/>
                <w:color w:val="000000"/>
                <w:sz w:val="20"/>
                <w:szCs w:val="20"/>
              </w:rPr>
              <w:t>N</w:t>
            </w:r>
            <w:r w:rsidRPr="00407A33">
              <w:rPr>
                <w:rFonts w:ascii="Cambria" w:eastAsia="Times New Roman" w:hAnsi="Cambria" w:cs="Calibri"/>
                <w:b/>
                <w:bCs/>
                <w:color w:val="000000"/>
                <w:sz w:val="20"/>
                <w:szCs w:val="20"/>
              </w:rPr>
              <w:t> = 395,718)</w:t>
            </w:r>
          </w:p>
        </w:tc>
        <w:tc>
          <w:tcPr>
            <w:tcW w:w="0" w:type="auto"/>
            <w:shd w:val="clear" w:color="auto" w:fill="auto"/>
            <w:hideMark/>
          </w:tcPr>
          <w:p w14:paraId="1FCBF21F" w14:textId="77777777" w:rsidR="00407A33" w:rsidRPr="00407A33" w:rsidRDefault="00407A33" w:rsidP="00407A33">
            <w:pPr>
              <w:spacing w:after="0" w:line="240" w:lineRule="auto"/>
              <w:contextualSpacing/>
              <w:rPr>
                <w:rFonts w:ascii="Cambria" w:eastAsia="Times New Roman" w:hAnsi="Cambria" w:cs="Calibri"/>
                <w:b/>
                <w:bCs/>
                <w:color w:val="000000"/>
                <w:sz w:val="20"/>
                <w:szCs w:val="20"/>
              </w:rPr>
            </w:pPr>
            <w:r w:rsidRPr="00407A33">
              <w:rPr>
                <w:rFonts w:ascii="Cambria" w:eastAsia="Times New Roman" w:hAnsi="Cambria" w:cs="Calibri"/>
                <w:b/>
                <w:bCs/>
                <w:color w:val="000000"/>
                <w:sz w:val="20"/>
                <w:szCs w:val="20"/>
              </w:rPr>
              <w:t>Standardized difference in means</w:t>
            </w:r>
          </w:p>
        </w:tc>
      </w:tr>
      <w:tr w:rsidR="00407A33" w:rsidRPr="00407A33" w14:paraId="159BAA81" w14:textId="77777777" w:rsidTr="00407A33">
        <w:trPr>
          <w:trHeight w:val="332"/>
        </w:trPr>
        <w:tc>
          <w:tcPr>
            <w:tcW w:w="0" w:type="auto"/>
            <w:shd w:val="clear" w:color="auto" w:fill="auto"/>
            <w:hideMark/>
          </w:tcPr>
          <w:p w14:paraId="19D2A406"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Patient age (mean, in years)</w:t>
            </w:r>
          </w:p>
        </w:tc>
        <w:tc>
          <w:tcPr>
            <w:tcW w:w="0" w:type="auto"/>
            <w:shd w:val="clear" w:color="auto" w:fill="auto"/>
            <w:hideMark/>
          </w:tcPr>
          <w:p w14:paraId="40EB493B"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52.2</w:t>
            </w:r>
          </w:p>
        </w:tc>
        <w:tc>
          <w:tcPr>
            <w:tcW w:w="0" w:type="auto"/>
            <w:shd w:val="clear" w:color="auto" w:fill="auto"/>
            <w:hideMark/>
          </w:tcPr>
          <w:p w14:paraId="1D65281D"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56.5</w:t>
            </w:r>
          </w:p>
        </w:tc>
        <w:tc>
          <w:tcPr>
            <w:tcW w:w="0" w:type="auto"/>
            <w:shd w:val="clear" w:color="auto" w:fill="auto"/>
            <w:hideMark/>
          </w:tcPr>
          <w:p w14:paraId="4CC0A58B"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− 0.277</w:t>
            </w:r>
          </w:p>
        </w:tc>
      </w:tr>
      <w:tr w:rsidR="00407A33" w:rsidRPr="00407A33" w14:paraId="6D6D708D" w14:textId="77777777" w:rsidTr="00407A33">
        <w:trPr>
          <w:trHeight w:val="288"/>
        </w:trPr>
        <w:tc>
          <w:tcPr>
            <w:tcW w:w="0" w:type="auto"/>
            <w:shd w:val="clear" w:color="auto" w:fill="auto"/>
            <w:hideMark/>
          </w:tcPr>
          <w:p w14:paraId="0FE8C4A6"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&lt; 40 years (%)</w:t>
            </w:r>
          </w:p>
        </w:tc>
        <w:tc>
          <w:tcPr>
            <w:tcW w:w="0" w:type="auto"/>
            <w:shd w:val="clear" w:color="auto" w:fill="auto"/>
            <w:hideMark/>
          </w:tcPr>
          <w:p w14:paraId="6FCCC71A"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24.9</w:t>
            </w:r>
          </w:p>
        </w:tc>
        <w:tc>
          <w:tcPr>
            <w:tcW w:w="0" w:type="auto"/>
            <w:shd w:val="clear" w:color="auto" w:fill="auto"/>
            <w:hideMark/>
          </w:tcPr>
          <w:p w14:paraId="1DFF367F"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18.4</w:t>
            </w:r>
          </w:p>
        </w:tc>
        <w:tc>
          <w:tcPr>
            <w:tcW w:w="0" w:type="auto"/>
            <w:shd w:val="clear" w:color="auto" w:fill="auto"/>
            <w:hideMark/>
          </w:tcPr>
          <w:p w14:paraId="62DA57F6"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0.159</w:t>
            </w:r>
          </w:p>
        </w:tc>
      </w:tr>
      <w:tr w:rsidR="00407A33" w:rsidRPr="00407A33" w14:paraId="560A2562" w14:textId="77777777" w:rsidTr="00407A33">
        <w:trPr>
          <w:trHeight w:val="288"/>
        </w:trPr>
        <w:tc>
          <w:tcPr>
            <w:tcW w:w="0" w:type="auto"/>
            <w:shd w:val="clear" w:color="auto" w:fill="auto"/>
            <w:hideMark/>
          </w:tcPr>
          <w:p w14:paraId="1A83B88D"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40–50 years (%)</w:t>
            </w:r>
          </w:p>
        </w:tc>
        <w:tc>
          <w:tcPr>
            <w:tcW w:w="0" w:type="auto"/>
            <w:shd w:val="clear" w:color="auto" w:fill="auto"/>
            <w:hideMark/>
          </w:tcPr>
          <w:p w14:paraId="4A4BBF48"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19</w:t>
            </w:r>
          </w:p>
        </w:tc>
        <w:tc>
          <w:tcPr>
            <w:tcW w:w="0" w:type="auto"/>
            <w:shd w:val="clear" w:color="auto" w:fill="auto"/>
            <w:hideMark/>
          </w:tcPr>
          <w:p w14:paraId="56F600A0"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15.3</w:t>
            </w:r>
          </w:p>
        </w:tc>
        <w:tc>
          <w:tcPr>
            <w:tcW w:w="0" w:type="auto"/>
            <w:shd w:val="clear" w:color="auto" w:fill="auto"/>
            <w:hideMark/>
          </w:tcPr>
          <w:p w14:paraId="3682E14D"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0.098</w:t>
            </w:r>
          </w:p>
        </w:tc>
      </w:tr>
      <w:tr w:rsidR="00407A33" w:rsidRPr="00407A33" w14:paraId="529306DD" w14:textId="77777777" w:rsidTr="00407A33">
        <w:trPr>
          <w:trHeight w:val="288"/>
        </w:trPr>
        <w:tc>
          <w:tcPr>
            <w:tcW w:w="0" w:type="auto"/>
            <w:shd w:val="clear" w:color="auto" w:fill="auto"/>
            <w:hideMark/>
          </w:tcPr>
          <w:p w14:paraId="5E48F558"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51–60 years (%)</w:t>
            </w:r>
          </w:p>
        </w:tc>
        <w:tc>
          <w:tcPr>
            <w:tcW w:w="0" w:type="auto"/>
            <w:shd w:val="clear" w:color="auto" w:fill="auto"/>
            <w:hideMark/>
          </w:tcPr>
          <w:p w14:paraId="2FF91B85"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21.2</w:t>
            </w:r>
          </w:p>
        </w:tc>
        <w:tc>
          <w:tcPr>
            <w:tcW w:w="0" w:type="auto"/>
            <w:shd w:val="clear" w:color="auto" w:fill="auto"/>
            <w:hideMark/>
          </w:tcPr>
          <w:p w14:paraId="02A17C09"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20.4</w:t>
            </w:r>
          </w:p>
        </w:tc>
        <w:tc>
          <w:tcPr>
            <w:tcW w:w="0" w:type="auto"/>
            <w:shd w:val="clear" w:color="auto" w:fill="auto"/>
            <w:hideMark/>
          </w:tcPr>
          <w:p w14:paraId="08201A06"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0.019</w:t>
            </w:r>
          </w:p>
        </w:tc>
      </w:tr>
      <w:tr w:rsidR="00407A33" w:rsidRPr="00407A33" w14:paraId="677DF2CE" w14:textId="77777777" w:rsidTr="00407A33">
        <w:trPr>
          <w:trHeight w:val="288"/>
        </w:trPr>
        <w:tc>
          <w:tcPr>
            <w:tcW w:w="0" w:type="auto"/>
            <w:shd w:val="clear" w:color="auto" w:fill="auto"/>
            <w:hideMark/>
          </w:tcPr>
          <w:p w14:paraId="6D7B1CF9"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61–70 years (%)</w:t>
            </w:r>
          </w:p>
        </w:tc>
        <w:tc>
          <w:tcPr>
            <w:tcW w:w="0" w:type="auto"/>
            <w:shd w:val="clear" w:color="auto" w:fill="auto"/>
            <w:hideMark/>
          </w:tcPr>
          <w:p w14:paraId="27135F11"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25.7</w:t>
            </w:r>
          </w:p>
        </w:tc>
        <w:tc>
          <w:tcPr>
            <w:tcW w:w="0" w:type="auto"/>
            <w:shd w:val="clear" w:color="auto" w:fill="auto"/>
            <w:hideMark/>
          </w:tcPr>
          <w:p w14:paraId="2D32C427"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29.4</w:t>
            </w:r>
          </w:p>
        </w:tc>
        <w:tc>
          <w:tcPr>
            <w:tcW w:w="0" w:type="auto"/>
            <w:shd w:val="clear" w:color="auto" w:fill="auto"/>
            <w:hideMark/>
          </w:tcPr>
          <w:p w14:paraId="0F9BCFC2"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− 0.084</w:t>
            </w:r>
          </w:p>
        </w:tc>
      </w:tr>
      <w:tr w:rsidR="00407A33" w:rsidRPr="00407A33" w14:paraId="28E53092" w14:textId="77777777" w:rsidTr="00407A33">
        <w:trPr>
          <w:trHeight w:val="288"/>
        </w:trPr>
        <w:tc>
          <w:tcPr>
            <w:tcW w:w="0" w:type="auto"/>
            <w:shd w:val="clear" w:color="auto" w:fill="auto"/>
            <w:hideMark/>
          </w:tcPr>
          <w:p w14:paraId="65D8C4EA"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71+ years (%)</w:t>
            </w:r>
          </w:p>
        </w:tc>
        <w:tc>
          <w:tcPr>
            <w:tcW w:w="0" w:type="auto"/>
            <w:shd w:val="clear" w:color="auto" w:fill="auto"/>
            <w:hideMark/>
          </w:tcPr>
          <w:p w14:paraId="48073D6B"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9.2</w:t>
            </w:r>
          </w:p>
        </w:tc>
        <w:tc>
          <w:tcPr>
            <w:tcW w:w="0" w:type="auto"/>
            <w:shd w:val="clear" w:color="auto" w:fill="auto"/>
            <w:hideMark/>
          </w:tcPr>
          <w:p w14:paraId="58CC07BD"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16.4</w:t>
            </w:r>
          </w:p>
        </w:tc>
        <w:tc>
          <w:tcPr>
            <w:tcW w:w="0" w:type="auto"/>
            <w:shd w:val="clear" w:color="auto" w:fill="auto"/>
            <w:hideMark/>
          </w:tcPr>
          <w:p w14:paraId="2651BDA5"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− 0.218</w:t>
            </w:r>
          </w:p>
        </w:tc>
      </w:tr>
      <w:tr w:rsidR="00407A33" w:rsidRPr="00407A33" w14:paraId="6D985431" w14:textId="77777777" w:rsidTr="00407A33">
        <w:trPr>
          <w:trHeight w:val="305"/>
        </w:trPr>
        <w:tc>
          <w:tcPr>
            <w:tcW w:w="0" w:type="auto"/>
            <w:shd w:val="clear" w:color="auto" w:fill="auto"/>
            <w:hideMark/>
          </w:tcPr>
          <w:p w14:paraId="7B850B68"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Female gender (%)</w:t>
            </w:r>
          </w:p>
        </w:tc>
        <w:tc>
          <w:tcPr>
            <w:tcW w:w="0" w:type="auto"/>
            <w:shd w:val="clear" w:color="auto" w:fill="auto"/>
            <w:hideMark/>
          </w:tcPr>
          <w:p w14:paraId="3A1381BA"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7.1</w:t>
            </w:r>
          </w:p>
        </w:tc>
        <w:tc>
          <w:tcPr>
            <w:tcW w:w="0" w:type="auto"/>
            <w:shd w:val="clear" w:color="auto" w:fill="auto"/>
            <w:hideMark/>
          </w:tcPr>
          <w:p w14:paraId="19649A9C"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5.5</w:t>
            </w:r>
          </w:p>
        </w:tc>
        <w:tc>
          <w:tcPr>
            <w:tcW w:w="0" w:type="auto"/>
            <w:shd w:val="clear" w:color="auto" w:fill="auto"/>
            <w:hideMark/>
          </w:tcPr>
          <w:p w14:paraId="438C0493"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0.066</w:t>
            </w:r>
          </w:p>
        </w:tc>
      </w:tr>
      <w:tr w:rsidR="00407A33" w:rsidRPr="00407A33" w14:paraId="6A88BEC9" w14:textId="77777777" w:rsidTr="00407A33">
        <w:trPr>
          <w:trHeight w:val="512"/>
        </w:trPr>
        <w:tc>
          <w:tcPr>
            <w:tcW w:w="0" w:type="auto"/>
            <w:shd w:val="clear" w:color="auto" w:fill="auto"/>
            <w:hideMark/>
          </w:tcPr>
          <w:p w14:paraId="07E2BF02"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Travel distance to nearest VA clinic (miles)</w:t>
            </w:r>
          </w:p>
        </w:tc>
        <w:tc>
          <w:tcPr>
            <w:tcW w:w="0" w:type="auto"/>
            <w:shd w:val="clear" w:color="auto" w:fill="auto"/>
            <w:hideMark/>
          </w:tcPr>
          <w:p w14:paraId="20C67616"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16.5</w:t>
            </w:r>
          </w:p>
        </w:tc>
        <w:tc>
          <w:tcPr>
            <w:tcW w:w="0" w:type="auto"/>
            <w:shd w:val="clear" w:color="auto" w:fill="auto"/>
            <w:hideMark/>
          </w:tcPr>
          <w:p w14:paraId="78ACF2F8"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16.2</w:t>
            </w:r>
          </w:p>
        </w:tc>
        <w:tc>
          <w:tcPr>
            <w:tcW w:w="0" w:type="auto"/>
            <w:shd w:val="clear" w:color="auto" w:fill="auto"/>
            <w:hideMark/>
          </w:tcPr>
          <w:p w14:paraId="1DF21127"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0.018</w:t>
            </w:r>
          </w:p>
        </w:tc>
      </w:tr>
      <w:tr w:rsidR="00407A33" w:rsidRPr="00407A33" w14:paraId="7B6F8015" w14:textId="77777777" w:rsidTr="00407A33">
        <w:trPr>
          <w:trHeight w:val="557"/>
        </w:trPr>
        <w:tc>
          <w:tcPr>
            <w:tcW w:w="0" w:type="auto"/>
            <w:shd w:val="clear" w:color="auto" w:fill="auto"/>
            <w:hideMark/>
          </w:tcPr>
          <w:p w14:paraId="1B0C1903"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Travel distance to nearest VA tertiary hospital (miles)</w:t>
            </w:r>
          </w:p>
        </w:tc>
        <w:tc>
          <w:tcPr>
            <w:tcW w:w="0" w:type="auto"/>
            <w:shd w:val="clear" w:color="auto" w:fill="auto"/>
            <w:hideMark/>
          </w:tcPr>
          <w:p w14:paraId="3A284276"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101.5</w:t>
            </w:r>
          </w:p>
        </w:tc>
        <w:tc>
          <w:tcPr>
            <w:tcW w:w="0" w:type="auto"/>
            <w:shd w:val="clear" w:color="auto" w:fill="auto"/>
            <w:hideMark/>
          </w:tcPr>
          <w:p w14:paraId="358A6F73"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99.3</w:t>
            </w:r>
          </w:p>
        </w:tc>
        <w:tc>
          <w:tcPr>
            <w:tcW w:w="0" w:type="auto"/>
            <w:shd w:val="clear" w:color="auto" w:fill="auto"/>
            <w:hideMark/>
          </w:tcPr>
          <w:p w14:paraId="1AE26CAA"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0.023</w:t>
            </w:r>
          </w:p>
        </w:tc>
      </w:tr>
      <w:tr w:rsidR="00407A33" w:rsidRPr="00407A33" w14:paraId="6AF8E21B" w14:textId="77777777" w:rsidTr="00407A33">
        <w:trPr>
          <w:trHeight w:val="602"/>
        </w:trPr>
        <w:tc>
          <w:tcPr>
            <w:tcW w:w="0" w:type="auto"/>
            <w:shd w:val="clear" w:color="auto" w:fill="auto"/>
            <w:hideMark/>
          </w:tcPr>
          <w:p w14:paraId="7F91AD05"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Travel distance to nearest VA tertiary hospital &gt; 40 miles (%)</w:t>
            </w:r>
          </w:p>
        </w:tc>
        <w:tc>
          <w:tcPr>
            <w:tcW w:w="0" w:type="auto"/>
            <w:shd w:val="clear" w:color="auto" w:fill="auto"/>
            <w:hideMark/>
          </w:tcPr>
          <w:p w14:paraId="12A7A1B7"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70.5</w:t>
            </w:r>
          </w:p>
        </w:tc>
        <w:tc>
          <w:tcPr>
            <w:tcW w:w="0" w:type="auto"/>
            <w:shd w:val="clear" w:color="auto" w:fill="auto"/>
            <w:hideMark/>
          </w:tcPr>
          <w:p w14:paraId="43F39790"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71.6</w:t>
            </w:r>
          </w:p>
        </w:tc>
        <w:tc>
          <w:tcPr>
            <w:tcW w:w="0" w:type="auto"/>
            <w:shd w:val="clear" w:color="auto" w:fill="auto"/>
            <w:hideMark/>
          </w:tcPr>
          <w:p w14:paraId="730A3DFC"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− 0.025</w:t>
            </w:r>
          </w:p>
        </w:tc>
      </w:tr>
      <w:tr w:rsidR="00407A33" w:rsidRPr="00407A33" w14:paraId="3F602D9D" w14:textId="77777777" w:rsidTr="00407A33">
        <w:trPr>
          <w:trHeight w:val="548"/>
        </w:trPr>
        <w:tc>
          <w:tcPr>
            <w:tcW w:w="0" w:type="auto"/>
            <w:shd w:val="clear" w:color="auto" w:fill="auto"/>
            <w:hideMark/>
          </w:tcPr>
          <w:p w14:paraId="690725DC"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Patient had an assigned primary care provider (%)</w:t>
            </w:r>
          </w:p>
        </w:tc>
        <w:tc>
          <w:tcPr>
            <w:tcW w:w="0" w:type="auto"/>
            <w:shd w:val="clear" w:color="auto" w:fill="auto"/>
            <w:hideMark/>
          </w:tcPr>
          <w:p w14:paraId="52445318"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90.3</w:t>
            </w:r>
          </w:p>
        </w:tc>
        <w:tc>
          <w:tcPr>
            <w:tcW w:w="0" w:type="auto"/>
            <w:shd w:val="clear" w:color="auto" w:fill="auto"/>
            <w:hideMark/>
          </w:tcPr>
          <w:p w14:paraId="2234A852"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93.3</w:t>
            </w:r>
          </w:p>
        </w:tc>
        <w:tc>
          <w:tcPr>
            <w:tcW w:w="0" w:type="auto"/>
            <w:shd w:val="clear" w:color="auto" w:fill="auto"/>
            <w:hideMark/>
          </w:tcPr>
          <w:p w14:paraId="592A1B25"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− 0.110</w:t>
            </w:r>
          </w:p>
        </w:tc>
      </w:tr>
      <w:tr w:rsidR="00407A33" w:rsidRPr="00407A33" w14:paraId="5533F8FD" w14:textId="77777777" w:rsidTr="00407A33">
        <w:trPr>
          <w:trHeight w:val="530"/>
        </w:trPr>
        <w:tc>
          <w:tcPr>
            <w:tcW w:w="0" w:type="auto"/>
            <w:shd w:val="clear" w:color="auto" w:fill="auto"/>
            <w:hideMark/>
          </w:tcPr>
          <w:p w14:paraId="67C2AB56"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Patient saw assigned primary care provider (%)</w:t>
            </w:r>
          </w:p>
        </w:tc>
        <w:tc>
          <w:tcPr>
            <w:tcW w:w="0" w:type="auto"/>
            <w:shd w:val="clear" w:color="auto" w:fill="auto"/>
            <w:hideMark/>
          </w:tcPr>
          <w:p w14:paraId="3233F123"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80.2</w:t>
            </w:r>
          </w:p>
        </w:tc>
        <w:tc>
          <w:tcPr>
            <w:tcW w:w="0" w:type="auto"/>
            <w:shd w:val="clear" w:color="auto" w:fill="auto"/>
            <w:hideMark/>
          </w:tcPr>
          <w:p w14:paraId="0DB69EF7"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84.8</w:t>
            </w:r>
          </w:p>
        </w:tc>
        <w:tc>
          <w:tcPr>
            <w:tcW w:w="0" w:type="auto"/>
            <w:shd w:val="clear" w:color="auto" w:fill="auto"/>
            <w:hideMark/>
          </w:tcPr>
          <w:p w14:paraId="31FD15A4"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− 0.120</w:t>
            </w:r>
          </w:p>
        </w:tc>
      </w:tr>
      <w:tr w:rsidR="00407A33" w:rsidRPr="00407A33" w14:paraId="0E9F22D3" w14:textId="77777777" w:rsidTr="00407A33">
        <w:trPr>
          <w:trHeight w:val="332"/>
        </w:trPr>
        <w:tc>
          <w:tcPr>
            <w:tcW w:w="0" w:type="auto"/>
            <w:shd w:val="clear" w:color="auto" w:fill="auto"/>
            <w:hideMark/>
          </w:tcPr>
          <w:p w14:paraId="45E3D588"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Index visit at satellite clinic</w:t>
            </w:r>
          </w:p>
        </w:tc>
        <w:tc>
          <w:tcPr>
            <w:tcW w:w="0" w:type="auto"/>
            <w:shd w:val="clear" w:color="auto" w:fill="auto"/>
            <w:hideMark/>
          </w:tcPr>
          <w:p w14:paraId="50839128"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52.5</w:t>
            </w:r>
          </w:p>
        </w:tc>
        <w:tc>
          <w:tcPr>
            <w:tcW w:w="0" w:type="auto"/>
            <w:shd w:val="clear" w:color="auto" w:fill="auto"/>
            <w:hideMark/>
          </w:tcPr>
          <w:p w14:paraId="626481B2"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58.7</w:t>
            </w:r>
          </w:p>
        </w:tc>
        <w:tc>
          <w:tcPr>
            <w:tcW w:w="0" w:type="auto"/>
            <w:shd w:val="clear" w:color="auto" w:fill="auto"/>
            <w:hideMark/>
          </w:tcPr>
          <w:p w14:paraId="44D08585"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− 0.125</w:t>
            </w:r>
          </w:p>
        </w:tc>
      </w:tr>
      <w:tr w:rsidR="00407A33" w:rsidRPr="00407A33" w14:paraId="79D755F7" w14:textId="77777777" w:rsidTr="00407A33">
        <w:trPr>
          <w:trHeight w:val="288"/>
        </w:trPr>
        <w:tc>
          <w:tcPr>
            <w:tcW w:w="0" w:type="auto"/>
            <w:shd w:val="clear" w:color="auto" w:fill="auto"/>
            <w:hideMark/>
          </w:tcPr>
          <w:p w14:paraId="0A07B486"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Baseline pain score (numeric)</w:t>
            </w:r>
          </w:p>
        </w:tc>
        <w:tc>
          <w:tcPr>
            <w:tcW w:w="0" w:type="auto"/>
            <w:shd w:val="clear" w:color="auto" w:fill="auto"/>
            <w:hideMark/>
          </w:tcPr>
          <w:p w14:paraId="64A5312C"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p>
        </w:tc>
        <w:tc>
          <w:tcPr>
            <w:tcW w:w="0" w:type="auto"/>
            <w:shd w:val="clear" w:color="auto" w:fill="auto"/>
            <w:hideMark/>
          </w:tcPr>
          <w:p w14:paraId="305C638A" w14:textId="77777777" w:rsidR="00407A33" w:rsidRPr="00407A33" w:rsidRDefault="00407A33" w:rsidP="00407A33">
            <w:pPr>
              <w:spacing w:after="0" w:line="240" w:lineRule="auto"/>
              <w:contextualSpacing/>
              <w:rPr>
                <w:rFonts w:ascii="Times New Roman" w:eastAsia="Times New Roman" w:hAnsi="Times New Roman" w:cs="Times New Roman"/>
                <w:sz w:val="20"/>
                <w:szCs w:val="20"/>
              </w:rPr>
            </w:pPr>
          </w:p>
        </w:tc>
        <w:tc>
          <w:tcPr>
            <w:tcW w:w="0" w:type="auto"/>
            <w:shd w:val="clear" w:color="auto" w:fill="auto"/>
            <w:hideMark/>
          </w:tcPr>
          <w:p w14:paraId="636376F4" w14:textId="77777777" w:rsidR="00407A33" w:rsidRPr="00407A33" w:rsidRDefault="00407A33" w:rsidP="00407A33">
            <w:pPr>
              <w:spacing w:after="0" w:line="240" w:lineRule="auto"/>
              <w:contextualSpacing/>
              <w:rPr>
                <w:rFonts w:ascii="Times New Roman" w:eastAsia="Times New Roman" w:hAnsi="Times New Roman" w:cs="Times New Roman"/>
                <w:sz w:val="20"/>
                <w:szCs w:val="20"/>
              </w:rPr>
            </w:pPr>
          </w:p>
        </w:tc>
      </w:tr>
      <w:tr w:rsidR="00407A33" w:rsidRPr="00407A33" w14:paraId="3003CE2F" w14:textId="77777777" w:rsidTr="00407A33">
        <w:trPr>
          <w:trHeight w:val="305"/>
        </w:trPr>
        <w:tc>
          <w:tcPr>
            <w:tcW w:w="0" w:type="auto"/>
            <w:shd w:val="clear" w:color="auto" w:fill="auto"/>
            <w:hideMark/>
          </w:tcPr>
          <w:p w14:paraId="5509D113"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lastRenderedPageBreak/>
              <w:t>Baseline pain score 0 (%)</w:t>
            </w:r>
          </w:p>
        </w:tc>
        <w:tc>
          <w:tcPr>
            <w:tcW w:w="0" w:type="auto"/>
            <w:shd w:val="clear" w:color="auto" w:fill="auto"/>
            <w:hideMark/>
          </w:tcPr>
          <w:p w14:paraId="74A6B8EA"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12.7</w:t>
            </w:r>
          </w:p>
        </w:tc>
        <w:tc>
          <w:tcPr>
            <w:tcW w:w="0" w:type="auto"/>
            <w:shd w:val="clear" w:color="auto" w:fill="auto"/>
            <w:hideMark/>
          </w:tcPr>
          <w:p w14:paraId="3B10E23E"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31.8</w:t>
            </w:r>
          </w:p>
        </w:tc>
        <w:tc>
          <w:tcPr>
            <w:tcW w:w="0" w:type="auto"/>
            <w:shd w:val="clear" w:color="auto" w:fill="auto"/>
            <w:hideMark/>
          </w:tcPr>
          <w:p w14:paraId="11C43A78"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− 0.472</w:t>
            </w:r>
          </w:p>
        </w:tc>
      </w:tr>
      <w:tr w:rsidR="00407A33" w:rsidRPr="00407A33" w14:paraId="5CC2A772" w14:textId="77777777" w:rsidTr="00407A33">
        <w:trPr>
          <w:trHeight w:val="350"/>
        </w:trPr>
        <w:tc>
          <w:tcPr>
            <w:tcW w:w="0" w:type="auto"/>
            <w:shd w:val="clear" w:color="auto" w:fill="auto"/>
            <w:hideMark/>
          </w:tcPr>
          <w:p w14:paraId="1D09AA95"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Baseline pain score 1 (%)</w:t>
            </w:r>
          </w:p>
        </w:tc>
        <w:tc>
          <w:tcPr>
            <w:tcW w:w="0" w:type="auto"/>
            <w:shd w:val="clear" w:color="auto" w:fill="auto"/>
            <w:hideMark/>
          </w:tcPr>
          <w:p w14:paraId="16E1D0E0"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1.8</w:t>
            </w:r>
          </w:p>
        </w:tc>
        <w:tc>
          <w:tcPr>
            <w:tcW w:w="0" w:type="auto"/>
            <w:shd w:val="clear" w:color="auto" w:fill="auto"/>
            <w:hideMark/>
          </w:tcPr>
          <w:p w14:paraId="7016E46F"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2.4</w:t>
            </w:r>
          </w:p>
        </w:tc>
        <w:tc>
          <w:tcPr>
            <w:tcW w:w="0" w:type="auto"/>
            <w:shd w:val="clear" w:color="auto" w:fill="auto"/>
            <w:hideMark/>
          </w:tcPr>
          <w:p w14:paraId="394665F8"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− 0.041</w:t>
            </w:r>
          </w:p>
        </w:tc>
      </w:tr>
      <w:tr w:rsidR="00407A33" w:rsidRPr="00407A33" w14:paraId="7C07EF1B" w14:textId="77777777" w:rsidTr="00407A33">
        <w:trPr>
          <w:trHeight w:val="350"/>
        </w:trPr>
        <w:tc>
          <w:tcPr>
            <w:tcW w:w="0" w:type="auto"/>
            <w:shd w:val="clear" w:color="auto" w:fill="auto"/>
            <w:hideMark/>
          </w:tcPr>
          <w:p w14:paraId="329E9DC7"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Baseline pain score 2 (%)</w:t>
            </w:r>
          </w:p>
        </w:tc>
        <w:tc>
          <w:tcPr>
            <w:tcW w:w="0" w:type="auto"/>
            <w:shd w:val="clear" w:color="auto" w:fill="auto"/>
            <w:hideMark/>
          </w:tcPr>
          <w:p w14:paraId="0A179B36"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3.6</w:t>
            </w:r>
          </w:p>
        </w:tc>
        <w:tc>
          <w:tcPr>
            <w:tcW w:w="0" w:type="auto"/>
            <w:shd w:val="clear" w:color="auto" w:fill="auto"/>
            <w:hideMark/>
          </w:tcPr>
          <w:p w14:paraId="46AA17C5"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4.5</w:t>
            </w:r>
          </w:p>
        </w:tc>
        <w:tc>
          <w:tcPr>
            <w:tcW w:w="0" w:type="auto"/>
            <w:shd w:val="clear" w:color="auto" w:fill="auto"/>
            <w:hideMark/>
          </w:tcPr>
          <w:p w14:paraId="065EC067"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− 0.046</w:t>
            </w:r>
          </w:p>
        </w:tc>
      </w:tr>
      <w:tr w:rsidR="00407A33" w:rsidRPr="00407A33" w14:paraId="74582FF6" w14:textId="77777777" w:rsidTr="00407A33">
        <w:trPr>
          <w:trHeight w:val="350"/>
        </w:trPr>
        <w:tc>
          <w:tcPr>
            <w:tcW w:w="0" w:type="auto"/>
            <w:shd w:val="clear" w:color="auto" w:fill="auto"/>
            <w:hideMark/>
          </w:tcPr>
          <w:p w14:paraId="576CC7C8"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Baseline pain score 3 (%)</w:t>
            </w:r>
          </w:p>
        </w:tc>
        <w:tc>
          <w:tcPr>
            <w:tcW w:w="0" w:type="auto"/>
            <w:shd w:val="clear" w:color="auto" w:fill="auto"/>
            <w:hideMark/>
          </w:tcPr>
          <w:p w14:paraId="03392FEF"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8.5</w:t>
            </w:r>
          </w:p>
        </w:tc>
        <w:tc>
          <w:tcPr>
            <w:tcW w:w="0" w:type="auto"/>
            <w:shd w:val="clear" w:color="auto" w:fill="auto"/>
            <w:hideMark/>
          </w:tcPr>
          <w:p w14:paraId="43F082FF"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8.5</w:t>
            </w:r>
          </w:p>
        </w:tc>
        <w:tc>
          <w:tcPr>
            <w:tcW w:w="0" w:type="auto"/>
            <w:shd w:val="clear" w:color="auto" w:fill="auto"/>
            <w:hideMark/>
          </w:tcPr>
          <w:p w14:paraId="7CDE39B1"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0</w:t>
            </w:r>
          </w:p>
        </w:tc>
      </w:tr>
      <w:tr w:rsidR="00407A33" w:rsidRPr="00407A33" w14:paraId="7C1B194C" w14:textId="77777777" w:rsidTr="00407A33">
        <w:trPr>
          <w:trHeight w:val="332"/>
        </w:trPr>
        <w:tc>
          <w:tcPr>
            <w:tcW w:w="0" w:type="auto"/>
            <w:shd w:val="clear" w:color="auto" w:fill="auto"/>
            <w:hideMark/>
          </w:tcPr>
          <w:p w14:paraId="7634E986"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Baseline pain score 4 (%)</w:t>
            </w:r>
          </w:p>
        </w:tc>
        <w:tc>
          <w:tcPr>
            <w:tcW w:w="0" w:type="auto"/>
            <w:shd w:val="clear" w:color="auto" w:fill="auto"/>
            <w:hideMark/>
          </w:tcPr>
          <w:p w14:paraId="66EFAEF1"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9.8</w:t>
            </w:r>
          </w:p>
        </w:tc>
        <w:tc>
          <w:tcPr>
            <w:tcW w:w="0" w:type="auto"/>
            <w:shd w:val="clear" w:color="auto" w:fill="auto"/>
            <w:hideMark/>
          </w:tcPr>
          <w:p w14:paraId="141737BC"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8.8</w:t>
            </w:r>
          </w:p>
        </w:tc>
        <w:tc>
          <w:tcPr>
            <w:tcW w:w="0" w:type="auto"/>
            <w:shd w:val="clear" w:color="auto" w:fill="auto"/>
            <w:hideMark/>
          </w:tcPr>
          <w:p w14:paraId="59C1D527"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0.035</w:t>
            </w:r>
          </w:p>
        </w:tc>
      </w:tr>
      <w:tr w:rsidR="00407A33" w:rsidRPr="00407A33" w14:paraId="59E49A67" w14:textId="77777777" w:rsidTr="00407A33">
        <w:trPr>
          <w:trHeight w:val="350"/>
        </w:trPr>
        <w:tc>
          <w:tcPr>
            <w:tcW w:w="0" w:type="auto"/>
            <w:shd w:val="clear" w:color="auto" w:fill="auto"/>
            <w:hideMark/>
          </w:tcPr>
          <w:p w14:paraId="36A67A89"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Baseline pain score 5 (%)</w:t>
            </w:r>
          </w:p>
        </w:tc>
        <w:tc>
          <w:tcPr>
            <w:tcW w:w="0" w:type="auto"/>
            <w:shd w:val="clear" w:color="auto" w:fill="auto"/>
            <w:hideMark/>
          </w:tcPr>
          <w:p w14:paraId="2BB7B269"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12.3</w:t>
            </w:r>
          </w:p>
        </w:tc>
        <w:tc>
          <w:tcPr>
            <w:tcW w:w="0" w:type="auto"/>
            <w:shd w:val="clear" w:color="auto" w:fill="auto"/>
            <w:hideMark/>
          </w:tcPr>
          <w:p w14:paraId="41443B6A"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10.8</w:t>
            </w:r>
          </w:p>
        </w:tc>
        <w:tc>
          <w:tcPr>
            <w:tcW w:w="0" w:type="auto"/>
            <w:shd w:val="clear" w:color="auto" w:fill="auto"/>
            <w:hideMark/>
          </w:tcPr>
          <w:p w14:paraId="71A8201B"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0.049</w:t>
            </w:r>
          </w:p>
        </w:tc>
      </w:tr>
      <w:tr w:rsidR="00407A33" w:rsidRPr="00407A33" w14:paraId="3B8BFCC5" w14:textId="77777777" w:rsidTr="00407A33">
        <w:trPr>
          <w:trHeight w:val="287"/>
        </w:trPr>
        <w:tc>
          <w:tcPr>
            <w:tcW w:w="0" w:type="auto"/>
            <w:shd w:val="clear" w:color="auto" w:fill="auto"/>
            <w:hideMark/>
          </w:tcPr>
          <w:p w14:paraId="32043F28"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Baseline pain score 6 (%)</w:t>
            </w:r>
          </w:p>
        </w:tc>
        <w:tc>
          <w:tcPr>
            <w:tcW w:w="0" w:type="auto"/>
            <w:shd w:val="clear" w:color="auto" w:fill="auto"/>
            <w:hideMark/>
          </w:tcPr>
          <w:p w14:paraId="67F79DEC"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12.8</w:t>
            </w:r>
          </w:p>
        </w:tc>
        <w:tc>
          <w:tcPr>
            <w:tcW w:w="0" w:type="auto"/>
            <w:shd w:val="clear" w:color="auto" w:fill="auto"/>
            <w:hideMark/>
          </w:tcPr>
          <w:p w14:paraId="21725003"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9.9</w:t>
            </w:r>
          </w:p>
        </w:tc>
        <w:tc>
          <w:tcPr>
            <w:tcW w:w="0" w:type="auto"/>
            <w:shd w:val="clear" w:color="auto" w:fill="auto"/>
            <w:hideMark/>
          </w:tcPr>
          <w:p w14:paraId="39743E6F"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0.091</w:t>
            </w:r>
          </w:p>
        </w:tc>
      </w:tr>
      <w:tr w:rsidR="00407A33" w:rsidRPr="00407A33" w14:paraId="1559FCA0" w14:textId="77777777" w:rsidTr="00407A33">
        <w:trPr>
          <w:trHeight w:val="323"/>
        </w:trPr>
        <w:tc>
          <w:tcPr>
            <w:tcW w:w="0" w:type="auto"/>
            <w:shd w:val="clear" w:color="auto" w:fill="auto"/>
            <w:hideMark/>
          </w:tcPr>
          <w:p w14:paraId="046CE03F"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Baseline pain score 7 (%)</w:t>
            </w:r>
          </w:p>
        </w:tc>
        <w:tc>
          <w:tcPr>
            <w:tcW w:w="0" w:type="auto"/>
            <w:shd w:val="clear" w:color="auto" w:fill="auto"/>
            <w:hideMark/>
          </w:tcPr>
          <w:p w14:paraId="5FE379B9"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13.7</w:t>
            </w:r>
          </w:p>
        </w:tc>
        <w:tc>
          <w:tcPr>
            <w:tcW w:w="0" w:type="auto"/>
            <w:shd w:val="clear" w:color="auto" w:fill="auto"/>
            <w:hideMark/>
          </w:tcPr>
          <w:p w14:paraId="34C187D3"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9.8</w:t>
            </w:r>
          </w:p>
        </w:tc>
        <w:tc>
          <w:tcPr>
            <w:tcW w:w="0" w:type="auto"/>
            <w:shd w:val="clear" w:color="auto" w:fill="auto"/>
            <w:hideMark/>
          </w:tcPr>
          <w:p w14:paraId="7F84666A"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0.121</w:t>
            </w:r>
          </w:p>
        </w:tc>
      </w:tr>
      <w:tr w:rsidR="00407A33" w:rsidRPr="00407A33" w14:paraId="04DEB25D" w14:textId="77777777" w:rsidTr="00407A33">
        <w:trPr>
          <w:trHeight w:val="260"/>
        </w:trPr>
        <w:tc>
          <w:tcPr>
            <w:tcW w:w="0" w:type="auto"/>
            <w:shd w:val="clear" w:color="auto" w:fill="auto"/>
            <w:hideMark/>
          </w:tcPr>
          <w:p w14:paraId="383D5360"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Baseline pain score 8 (%)</w:t>
            </w:r>
          </w:p>
        </w:tc>
        <w:tc>
          <w:tcPr>
            <w:tcW w:w="0" w:type="auto"/>
            <w:shd w:val="clear" w:color="auto" w:fill="auto"/>
            <w:hideMark/>
          </w:tcPr>
          <w:p w14:paraId="23B46E22"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13.9</w:t>
            </w:r>
          </w:p>
        </w:tc>
        <w:tc>
          <w:tcPr>
            <w:tcW w:w="0" w:type="auto"/>
            <w:shd w:val="clear" w:color="auto" w:fill="auto"/>
            <w:hideMark/>
          </w:tcPr>
          <w:p w14:paraId="5BF1C32D"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8.6</w:t>
            </w:r>
          </w:p>
        </w:tc>
        <w:tc>
          <w:tcPr>
            <w:tcW w:w="0" w:type="auto"/>
            <w:shd w:val="clear" w:color="auto" w:fill="auto"/>
            <w:hideMark/>
          </w:tcPr>
          <w:p w14:paraId="64D9715C"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0.167</w:t>
            </w:r>
          </w:p>
        </w:tc>
      </w:tr>
      <w:tr w:rsidR="00407A33" w:rsidRPr="00407A33" w14:paraId="12F8F22D" w14:textId="77777777" w:rsidTr="00407A33">
        <w:trPr>
          <w:trHeight w:val="278"/>
        </w:trPr>
        <w:tc>
          <w:tcPr>
            <w:tcW w:w="0" w:type="auto"/>
            <w:shd w:val="clear" w:color="auto" w:fill="auto"/>
            <w:hideMark/>
          </w:tcPr>
          <w:p w14:paraId="6E6D4863"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Baseline pain score 9 (%)</w:t>
            </w:r>
          </w:p>
        </w:tc>
        <w:tc>
          <w:tcPr>
            <w:tcW w:w="0" w:type="auto"/>
            <w:shd w:val="clear" w:color="auto" w:fill="auto"/>
            <w:hideMark/>
          </w:tcPr>
          <w:p w14:paraId="717EFD6A"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5.6</w:t>
            </w:r>
          </w:p>
        </w:tc>
        <w:tc>
          <w:tcPr>
            <w:tcW w:w="0" w:type="auto"/>
            <w:shd w:val="clear" w:color="auto" w:fill="auto"/>
            <w:hideMark/>
          </w:tcPr>
          <w:p w14:paraId="2FCCCAAA"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2.7</w:t>
            </w:r>
          </w:p>
        </w:tc>
        <w:tc>
          <w:tcPr>
            <w:tcW w:w="0" w:type="auto"/>
            <w:shd w:val="clear" w:color="auto" w:fill="auto"/>
            <w:hideMark/>
          </w:tcPr>
          <w:p w14:paraId="5E8798AC"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0.142</w:t>
            </w:r>
          </w:p>
        </w:tc>
      </w:tr>
      <w:tr w:rsidR="00407A33" w:rsidRPr="00407A33" w14:paraId="36602C59" w14:textId="77777777" w:rsidTr="00407A33">
        <w:trPr>
          <w:trHeight w:val="305"/>
        </w:trPr>
        <w:tc>
          <w:tcPr>
            <w:tcW w:w="0" w:type="auto"/>
            <w:shd w:val="clear" w:color="auto" w:fill="auto"/>
            <w:hideMark/>
          </w:tcPr>
          <w:p w14:paraId="736F6D34"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Baseline pain score 10 (%)</w:t>
            </w:r>
          </w:p>
        </w:tc>
        <w:tc>
          <w:tcPr>
            <w:tcW w:w="0" w:type="auto"/>
            <w:shd w:val="clear" w:color="auto" w:fill="auto"/>
            <w:hideMark/>
          </w:tcPr>
          <w:p w14:paraId="14BD6153"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5.4</w:t>
            </w:r>
          </w:p>
        </w:tc>
        <w:tc>
          <w:tcPr>
            <w:tcW w:w="0" w:type="auto"/>
            <w:shd w:val="clear" w:color="auto" w:fill="auto"/>
            <w:hideMark/>
          </w:tcPr>
          <w:p w14:paraId="404B6353"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2.3</w:t>
            </w:r>
          </w:p>
        </w:tc>
        <w:tc>
          <w:tcPr>
            <w:tcW w:w="0" w:type="auto"/>
            <w:shd w:val="clear" w:color="auto" w:fill="auto"/>
            <w:hideMark/>
          </w:tcPr>
          <w:p w14:paraId="272E4D82"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0.165</w:t>
            </w:r>
          </w:p>
        </w:tc>
      </w:tr>
      <w:tr w:rsidR="00407A33" w:rsidRPr="00407A33" w14:paraId="0AA51AEC" w14:textId="77777777" w:rsidTr="00407A33">
        <w:trPr>
          <w:trHeight w:val="512"/>
        </w:trPr>
        <w:tc>
          <w:tcPr>
            <w:tcW w:w="0" w:type="auto"/>
            <w:shd w:val="clear" w:color="auto" w:fill="auto"/>
            <w:hideMark/>
          </w:tcPr>
          <w:p w14:paraId="22922E0C"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 xml:space="preserve">Back pain </w:t>
            </w:r>
            <w:proofErr w:type="gramStart"/>
            <w:r w:rsidRPr="00407A33">
              <w:rPr>
                <w:rFonts w:ascii="Cambria" w:eastAsia="Times New Roman" w:hAnsi="Cambria" w:cs="Calibri"/>
                <w:color w:val="000000"/>
                <w:sz w:val="20"/>
                <w:szCs w:val="20"/>
              </w:rPr>
              <w:t>visit</w:t>
            </w:r>
            <w:proofErr w:type="gramEnd"/>
            <w:r w:rsidRPr="00407A33">
              <w:rPr>
                <w:rFonts w:ascii="Cambria" w:eastAsia="Times New Roman" w:hAnsi="Cambria" w:cs="Calibri"/>
                <w:color w:val="000000"/>
                <w:sz w:val="20"/>
                <w:szCs w:val="20"/>
              </w:rPr>
              <w:t xml:space="preserve"> in prior 6–12 months (%)</w:t>
            </w:r>
          </w:p>
        </w:tc>
        <w:tc>
          <w:tcPr>
            <w:tcW w:w="0" w:type="auto"/>
            <w:shd w:val="clear" w:color="auto" w:fill="auto"/>
            <w:hideMark/>
          </w:tcPr>
          <w:p w14:paraId="5CFD426C"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37.6</w:t>
            </w:r>
          </w:p>
        </w:tc>
        <w:tc>
          <w:tcPr>
            <w:tcW w:w="0" w:type="auto"/>
            <w:shd w:val="clear" w:color="auto" w:fill="auto"/>
            <w:hideMark/>
          </w:tcPr>
          <w:p w14:paraId="7AEA0EAF"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39.4</w:t>
            </w:r>
          </w:p>
        </w:tc>
        <w:tc>
          <w:tcPr>
            <w:tcW w:w="0" w:type="auto"/>
            <w:shd w:val="clear" w:color="auto" w:fill="auto"/>
            <w:hideMark/>
          </w:tcPr>
          <w:p w14:paraId="00424D88"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− 0.037</w:t>
            </w:r>
          </w:p>
        </w:tc>
      </w:tr>
      <w:tr w:rsidR="00407A33" w:rsidRPr="00407A33" w14:paraId="6337E00A" w14:textId="77777777" w:rsidTr="00407A33">
        <w:trPr>
          <w:trHeight w:val="557"/>
        </w:trPr>
        <w:tc>
          <w:tcPr>
            <w:tcW w:w="0" w:type="auto"/>
            <w:shd w:val="clear" w:color="auto" w:fill="auto"/>
            <w:hideMark/>
          </w:tcPr>
          <w:p w14:paraId="7B069245"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 xml:space="preserve">Back pain </w:t>
            </w:r>
            <w:proofErr w:type="gramStart"/>
            <w:r w:rsidRPr="00407A33">
              <w:rPr>
                <w:rFonts w:ascii="Cambria" w:eastAsia="Times New Roman" w:hAnsi="Cambria" w:cs="Calibri"/>
                <w:color w:val="000000"/>
                <w:sz w:val="20"/>
                <w:szCs w:val="20"/>
              </w:rPr>
              <w:t>visit</w:t>
            </w:r>
            <w:proofErr w:type="gramEnd"/>
            <w:r w:rsidRPr="00407A33">
              <w:rPr>
                <w:rFonts w:ascii="Cambria" w:eastAsia="Times New Roman" w:hAnsi="Cambria" w:cs="Calibri"/>
                <w:color w:val="000000"/>
                <w:sz w:val="20"/>
                <w:szCs w:val="20"/>
              </w:rPr>
              <w:t xml:space="preserve"> in prior 12–24 months (%)</w:t>
            </w:r>
          </w:p>
        </w:tc>
        <w:tc>
          <w:tcPr>
            <w:tcW w:w="0" w:type="auto"/>
            <w:shd w:val="clear" w:color="auto" w:fill="auto"/>
            <w:hideMark/>
          </w:tcPr>
          <w:p w14:paraId="462654AC"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23.4</w:t>
            </w:r>
          </w:p>
        </w:tc>
        <w:tc>
          <w:tcPr>
            <w:tcW w:w="0" w:type="auto"/>
            <w:shd w:val="clear" w:color="auto" w:fill="auto"/>
            <w:hideMark/>
          </w:tcPr>
          <w:p w14:paraId="478B1F87"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26.7</w:t>
            </w:r>
          </w:p>
        </w:tc>
        <w:tc>
          <w:tcPr>
            <w:tcW w:w="0" w:type="auto"/>
            <w:shd w:val="clear" w:color="auto" w:fill="auto"/>
            <w:hideMark/>
          </w:tcPr>
          <w:p w14:paraId="3F455E1A"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− 0.076</w:t>
            </w:r>
          </w:p>
        </w:tc>
      </w:tr>
      <w:tr w:rsidR="00407A33" w:rsidRPr="00407A33" w14:paraId="476AF42D" w14:textId="77777777" w:rsidTr="00407A33">
        <w:trPr>
          <w:trHeight w:val="512"/>
        </w:trPr>
        <w:tc>
          <w:tcPr>
            <w:tcW w:w="0" w:type="auto"/>
            <w:shd w:val="clear" w:color="auto" w:fill="auto"/>
            <w:hideMark/>
          </w:tcPr>
          <w:p w14:paraId="719ABC3E"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No visit for back pain in last 24 months (%)</w:t>
            </w:r>
          </w:p>
        </w:tc>
        <w:tc>
          <w:tcPr>
            <w:tcW w:w="0" w:type="auto"/>
            <w:shd w:val="clear" w:color="auto" w:fill="auto"/>
            <w:hideMark/>
          </w:tcPr>
          <w:p w14:paraId="583483D8"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39</w:t>
            </w:r>
          </w:p>
        </w:tc>
        <w:tc>
          <w:tcPr>
            <w:tcW w:w="0" w:type="auto"/>
            <w:shd w:val="clear" w:color="auto" w:fill="auto"/>
            <w:hideMark/>
          </w:tcPr>
          <w:p w14:paraId="71B2CFE8"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33.9</w:t>
            </w:r>
          </w:p>
        </w:tc>
        <w:tc>
          <w:tcPr>
            <w:tcW w:w="0" w:type="auto"/>
            <w:shd w:val="clear" w:color="auto" w:fill="auto"/>
            <w:hideMark/>
          </w:tcPr>
          <w:p w14:paraId="73DEDA55"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0.106</w:t>
            </w:r>
          </w:p>
        </w:tc>
      </w:tr>
      <w:tr w:rsidR="00407A33" w:rsidRPr="00407A33" w14:paraId="768F081A" w14:textId="77777777" w:rsidTr="00407A33">
        <w:trPr>
          <w:trHeight w:val="557"/>
        </w:trPr>
        <w:tc>
          <w:tcPr>
            <w:tcW w:w="0" w:type="auto"/>
            <w:shd w:val="clear" w:color="auto" w:fill="auto"/>
            <w:hideMark/>
          </w:tcPr>
          <w:p w14:paraId="6D264194"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Total cost in the year prior to the index visit (mean $US)</w:t>
            </w:r>
          </w:p>
        </w:tc>
        <w:tc>
          <w:tcPr>
            <w:tcW w:w="0" w:type="auto"/>
            <w:shd w:val="clear" w:color="auto" w:fill="auto"/>
            <w:hideMark/>
          </w:tcPr>
          <w:p w14:paraId="6FAEC5CC"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4482</w:t>
            </w:r>
          </w:p>
        </w:tc>
        <w:tc>
          <w:tcPr>
            <w:tcW w:w="0" w:type="auto"/>
            <w:shd w:val="clear" w:color="auto" w:fill="auto"/>
            <w:hideMark/>
          </w:tcPr>
          <w:p w14:paraId="1EE706D7"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3802</w:t>
            </w:r>
          </w:p>
        </w:tc>
        <w:tc>
          <w:tcPr>
            <w:tcW w:w="0" w:type="auto"/>
            <w:shd w:val="clear" w:color="auto" w:fill="auto"/>
            <w:hideMark/>
          </w:tcPr>
          <w:p w14:paraId="1FFE36F5"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0.084</w:t>
            </w:r>
          </w:p>
        </w:tc>
      </w:tr>
      <w:tr w:rsidR="00407A33" w:rsidRPr="00407A33" w14:paraId="41E8248C" w14:textId="77777777" w:rsidTr="00407A33">
        <w:trPr>
          <w:trHeight w:val="620"/>
        </w:trPr>
        <w:tc>
          <w:tcPr>
            <w:tcW w:w="0" w:type="auto"/>
            <w:shd w:val="clear" w:color="auto" w:fill="auto"/>
            <w:hideMark/>
          </w:tcPr>
          <w:p w14:paraId="6836C900"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History of any opioid prescription in prior year (%)</w:t>
            </w:r>
          </w:p>
        </w:tc>
        <w:tc>
          <w:tcPr>
            <w:tcW w:w="0" w:type="auto"/>
            <w:shd w:val="clear" w:color="auto" w:fill="auto"/>
            <w:hideMark/>
          </w:tcPr>
          <w:p w14:paraId="18C9F313"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19.7</w:t>
            </w:r>
          </w:p>
        </w:tc>
        <w:tc>
          <w:tcPr>
            <w:tcW w:w="0" w:type="auto"/>
            <w:shd w:val="clear" w:color="auto" w:fill="auto"/>
            <w:hideMark/>
          </w:tcPr>
          <w:p w14:paraId="167ECCDD"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20</w:t>
            </w:r>
          </w:p>
        </w:tc>
        <w:tc>
          <w:tcPr>
            <w:tcW w:w="0" w:type="auto"/>
            <w:shd w:val="clear" w:color="auto" w:fill="auto"/>
            <w:hideMark/>
          </w:tcPr>
          <w:p w14:paraId="1985ED2A"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− 0.006</w:t>
            </w:r>
          </w:p>
        </w:tc>
      </w:tr>
      <w:tr w:rsidR="00407A33" w:rsidRPr="00407A33" w14:paraId="1031275A" w14:textId="77777777" w:rsidTr="00407A33">
        <w:trPr>
          <w:trHeight w:val="530"/>
        </w:trPr>
        <w:tc>
          <w:tcPr>
            <w:tcW w:w="0" w:type="auto"/>
            <w:shd w:val="clear" w:color="auto" w:fill="auto"/>
            <w:hideMark/>
          </w:tcPr>
          <w:p w14:paraId="01CEE2DC"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Number of chronic health conditions in prior year (mean)</w:t>
            </w:r>
          </w:p>
        </w:tc>
        <w:tc>
          <w:tcPr>
            <w:tcW w:w="0" w:type="auto"/>
            <w:shd w:val="clear" w:color="auto" w:fill="auto"/>
            <w:hideMark/>
          </w:tcPr>
          <w:p w14:paraId="78E1B6C9"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1.51</w:t>
            </w:r>
          </w:p>
        </w:tc>
        <w:tc>
          <w:tcPr>
            <w:tcW w:w="0" w:type="auto"/>
            <w:shd w:val="clear" w:color="auto" w:fill="auto"/>
            <w:hideMark/>
          </w:tcPr>
          <w:p w14:paraId="062E24F4"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1.73</w:t>
            </w:r>
          </w:p>
        </w:tc>
        <w:tc>
          <w:tcPr>
            <w:tcW w:w="0" w:type="auto"/>
            <w:shd w:val="clear" w:color="auto" w:fill="auto"/>
            <w:hideMark/>
          </w:tcPr>
          <w:p w14:paraId="334C4649"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− 0.153</w:t>
            </w:r>
          </w:p>
        </w:tc>
      </w:tr>
      <w:tr w:rsidR="00407A33" w:rsidRPr="00407A33" w14:paraId="782E3E5B" w14:textId="77777777" w:rsidTr="00407A33">
        <w:trPr>
          <w:trHeight w:val="575"/>
        </w:trPr>
        <w:tc>
          <w:tcPr>
            <w:tcW w:w="0" w:type="auto"/>
            <w:shd w:val="clear" w:color="auto" w:fill="auto"/>
            <w:hideMark/>
          </w:tcPr>
          <w:p w14:paraId="48BF7073"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Mental health diagnosis in prior year (%)</w:t>
            </w:r>
          </w:p>
        </w:tc>
        <w:tc>
          <w:tcPr>
            <w:tcW w:w="0" w:type="auto"/>
            <w:shd w:val="clear" w:color="auto" w:fill="auto"/>
            <w:hideMark/>
          </w:tcPr>
          <w:p w14:paraId="7349D3ED"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42.2</w:t>
            </w:r>
          </w:p>
        </w:tc>
        <w:tc>
          <w:tcPr>
            <w:tcW w:w="0" w:type="auto"/>
            <w:shd w:val="clear" w:color="auto" w:fill="auto"/>
            <w:hideMark/>
          </w:tcPr>
          <w:p w14:paraId="7254175E"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39</w:t>
            </w:r>
          </w:p>
        </w:tc>
        <w:tc>
          <w:tcPr>
            <w:tcW w:w="0" w:type="auto"/>
            <w:shd w:val="clear" w:color="auto" w:fill="auto"/>
            <w:hideMark/>
          </w:tcPr>
          <w:p w14:paraId="1F115D1F"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0.067</w:t>
            </w:r>
          </w:p>
        </w:tc>
      </w:tr>
      <w:tr w:rsidR="00407A33" w:rsidRPr="00407A33" w14:paraId="74E5D33C" w14:textId="77777777" w:rsidTr="00407A33">
        <w:trPr>
          <w:trHeight w:val="512"/>
        </w:trPr>
        <w:tc>
          <w:tcPr>
            <w:tcW w:w="0" w:type="auto"/>
            <w:shd w:val="clear" w:color="auto" w:fill="auto"/>
            <w:hideMark/>
          </w:tcPr>
          <w:p w14:paraId="211B2FEF"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Diagnosis of painful condition in prior year (%)</w:t>
            </w:r>
          </w:p>
        </w:tc>
        <w:tc>
          <w:tcPr>
            <w:tcW w:w="0" w:type="auto"/>
            <w:shd w:val="clear" w:color="auto" w:fill="auto"/>
            <w:hideMark/>
          </w:tcPr>
          <w:p w14:paraId="2B0A9581"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66.5</w:t>
            </w:r>
          </w:p>
        </w:tc>
        <w:tc>
          <w:tcPr>
            <w:tcW w:w="0" w:type="auto"/>
            <w:shd w:val="clear" w:color="auto" w:fill="auto"/>
            <w:hideMark/>
          </w:tcPr>
          <w:p w14:paraId="501639BF"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63.4</w:t>
            </w:r>
          </w:p>
        </w:tc>
        <w:tc>
          <w:tcPr>
            <w:tcW w:w="0" w:type="auto"/>
            <w:shd w:val="clear" w:color="auto" w:fill="auto"/>
            <w:hideMark/>
          </w:tcPr>
          <w:p w14:paraId="7FB243F4"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0.066</w:t>
            </w:r>
          </w:p>
        </w:tc>
      </w:tr>
    </w:tbl>
    <w:p w14:paraId="13B27AA0" w14:textId="392FA927" w:rsidR="00407A33" w:rsidRDefault="00407A33" w:rsidP="00407A33">
      <w:pPr>
        <w:pStyle w:val="p"/>
        <w:shd w:val="clear" w:color="auto" w:fill="FFFFFF"/>
        <w:spacing w:before="400" w:beforeAutospacing="0" w:after="400" w:afterAutospacing="0"/>
        <w:contextualSpacing/>
        <w:rPr>
          <w:rFonts w:ascii="Cambria" w:hAnsi="Cambria"/>
          <w:color w:val="212121"/>
        </w:rPr>
      </w:pPr>
    </w:p>
    <w:p w14:paraId="74790CBD" w14:textId="7FC45446" w:rsidR="008C3EB8" w:rsidRPr="008C3EB8" w:rsidRDefault="008C3EB8" w:rsidP="00407A33">
      <w:pPr>
        <w:pStyle w:val="p"/>
        <w:shd w:val="clear" w:color="auto" w:fill="FFFFFF"/>
        <w:spacing w:before="400" w:beforeAutospacing="0" w:after="400" w:afterAutospacing="0"/>
        <w:contextualSpacing/>
        <w:rPr>
          <w:rFonts w:ascii="Cambria" w:hAnsi="Cambria"/>
          <w:b/>
          <w:bCs/>
          <w:color w:val="212121"/>
        </w:rPr>
      </w:pPr>
      <w:r>
        <w:rPr>
          <w:rFonts w:ascii="Cambria" w:hAnsi="Cambria"/>
          <w:b/>
          <w:bCs/>
          <w:color w:val="212121"/>
        </w:rPr>
        <w:t>Table 2</w:t>
      </w:r>
    </w:p>
    <w:tbl>
      <w:tblPr>
        <w:tblW w:w="6300" w:type="dxa"/>
        <w:tblBorders>
          <w:top w:val="single" w:sz="8" w:space="0" w:color="000000"/>
          <w:insideH w:val="single" w:sz="4" w:space="0" w:color="auto"/>
          <w:insideV w:val="single" w:sz="4" w:space="0" w:color="auto"/>
        </w:tblBorders>
        <w:tblLook w:val="04A0" w:firstRow="1" w:lastRow="0" w:firstColumn="1" w:lastColumn="0" w:noHBand="0" w:noVBand="1"/>
      </w:tblPr>
      <w:tblGrid>
        <w:gridCol w:w="1480"/>
        <w:gridCol w:w="1850"/>
        <w:gridCol w:w="1980"/>
        <w:gridCol w:w="990"/>
      </w:tblGrid>
      <w:tr w:rsidR="008C3EB8" w:rsidRPr="008C3EB8" w14:paraId="428E6684" w14:textId="77777777" w:rsidTr="00B36768">
        <w:trPr>
          <w:trHeight w:val="504"/>
        </w:trPr>
        <w:tc>
          <w:tcPr>
            <w:tcW w:w="1480" w:type="dxa"/>
            <w:shd w:val="clear" w:color="auto" w:fill="auto"/>
            <w:hideMark/>
          </w:tcPr>
          <w:p w14:paraId="1BD10518" w14:textId="77777777" w:rsidR="008C3EB8" w:rsidRPr="008C3EB8" w:rsidRDefault="008C3EB8" w:rsidP="008C3EB8">
            <w:pPr>
              <w:spacing w:after="0" w:line="240" w:lineRule="auto"/>
              <w:rPr>
                <w:rFonts w:ascii="Cambria" w:eastAsia="Times New Roman" w:hAnsi="Cambria" w:cs="Calibri"/>
                <w:b/>
                <w:bCs/>
                <w:color w:val="000000"/>
                <w:sz w:val="19"/>
                <w:szCs w:val="19"/>
              </w:rPr>
            </w:pPr>
            <w:r w:rsidRPr="008C3EB8">
              <w:rPr>
                <w:rFonts w:ascii="Cambria" w:eastAsia="Times New Roman" w:hAnsi="Cambria" w:cs="Calibri"/>
                <w:b/>
                <w:bCs/>
                <w:color w:val="000000"/>
                <w:sz w:val="19"/>
                <w:szCs w:val="19"/>
              </w:rPr>
              <w:t>Outcome</w:t>
            </w:r>
          </w:p>
        </w:tc>
        <w:tc>
          <w:tcPr>
            <w:tcW w:w="1850" w:type="dxa"/>
            <w:shd w:val="clear" w:color="auto" w:fill="auto"/>
            <w:hideMark/>
          </w:tcPr>
          <w:p w14:paraId="3CBD2669" w14:textId="77777777" w:rsidR="008C3EB8" w:rsidRPr="008C3EB8" w:rsidRDefault="008C3EB8" w:rsidP="008C3EB8">
            <w:pPr>
              <w:spacing w:after="0" w:line="240" w:lineRule="auto"/>
              <w:rPr>
                <w:rFonts w:ascii="Cambria" w:eastAsia="Times New Roman" w:hAnsi="Cambria" w:cs="Calibri"/>
                <w:b/>
                <w:bCs/>
                <w:color w:val="000000"/>
                <w:sz w:val="19"/>
                <w:szCs w:val="19"/>
              </w:rPr>
            </w:pPr>
            <w:r w:rsidRPr="008C3EB8">
              <w:rPr>
                <w:rFonts w:ascii="Cambria" w:eastAsia="Times New Roman" w:hAnsi="Cambria" w:cs="Calibri"/>
                <w:b/>
                <w:bCs/>
                <w:color w:val="000000"/>
                <w:sz w:val="19"/>
                <w:szCs w:val="19"/>
              </w:rPr>
              <w:t>With early MRI (</w:t>
            </w:r>
            <w:r w:rsidRPr="008C3EB8">
              <w:rPr>
                <w:rFonts w:ascii="Cambria" w:eastAsia="Times New Roman" w:hAnsi="Cambria" w:cs="Calibri"/>
                <w:b/>
                <w:bCs/>
                <w:i/>
                <w:iCs/>
                <w:color w:val="000000"/>
                <w:sz w:val="19"/>
                <w:szCs w:val="19"/>
              </w:rPr>
              <w:t>N</w:t>
            </w:r>
            <w:r w:rsidRPr="008C3EB8">
              <w:rPr>
                <w:rFonts w:ascii="Cambria" w:eastAsia="Times New Roman" w:hAnsi="Cambria" w:cs="Calibri"/>
                <w:b/>
                <w:bCs/>
                <w:color w:val="000000"/>
                <w:sz w:val="19"/>
                <w:szCs w:val="19"/>
              </w:rPr>
              <w:t> = 9977)</w:t>
            </w:r>
          </w:p>
        </w:tc>
        <w:tc>
          <w:tcPr>
            <w:tcW w:w="1980" w:type="dxa"/>
            <w:shd w:val="clear" w:color="auto" w:fill="auto"/>
            <w:hideMark/>
          </w:tcPr>
          <w:p w14:paraId="3F7768EE" w14:textId="77777777" w:rsidR="008C3EB8" w:rsidRPr="008C3EB8" w:rsidRDefault="008C3EB8" w:rsidP="008C3EB8">
            <w:pPr>
              <w:spacing w:after="0" w:line="240" w:lineRule="auto"/>
              <w:rPr>
                <w:rFonts w:ascii="Cambria" w:eastAsia="Times New Roman" w:hAnsi="Cambria" w:cs="Calibri"/>
                <w:b/>
                <w:bCs/>
                <w:color w:val="000000"/>
                <w:sz w:val="19"/>
                <w:szCs w:val="19"/>
              </w:rPr>
            </w:pPr>
            <w:r w:rsidRPr="008C3EB8">
              <w:rPr>
                <w:rFonts w:ascii="Cambria" w:eastAsia="Times New Roman" w:hAnsi="Cambria" w:cs="Calibri"/>
                <w:b/>
                <w:bCs/>
                <w:color w:val="000000"/>
                <w:sz w:val="19"/>
                <w:szCs w:val="19"/>
              </w:rPr>
              <w:t>Without early MRI (</w:t>
            </w:r>
            <w:r w:rsidRPr="008C3EB8">
              <w:rPr>
                <w:rFonts w:ascii="Cambria" w:eastAsia="Times New Roman" w:hAnsi="Cambria" w:cs="Calibri"/>
                <w:b/>
                <w:bCs/>
                <w:i/>
                <w:iCs/>
                <w:color w:val="000000"/>
                <w:sz w:val="19"/>
                <w:szCs w:val="19"/>
              </w:rPr>
              <w:t>N</w:t>
            </w:r>
            <w:r w:rsidRPr="008C3EB8">
              <w:rPr>
                <w:rFonts w:ascii="Cambria" w:eastAsia="Times New Roman" w:hAnsi="Cambria" w:cs="Calibri"/>
                <w:b/>
                <w:bCs/>
                <w:color w:val="000000"/>
                <w:sz w:val="19"/>
                <w:szCs w:val="19"/>
              </w:rPr>
              <w:t> = 395,718)</w:t>
            </w:r>
          </w:p>
        </w:tc>
        <w:tc>
          <w:tcPr>
            <w:tcW w:w="990" w:type="dxa"/>
            <w:shd w:val="clear" w:color="auto" w:fill="auto"/>
            <w:hideMark/>
          </w:tcPr>
          <w:p w14:paraId="630143AE" w14:textId="77777777" w:rsidR="008C3EB8" w:rsidRPr="008C3EB8" w:rsidRDefault="008C3EB8" w:rsidP="008C3EB8">
            <w:pPr>
              <w:spacing w:after="0" w:line="240" w:lineRule="auto"/>
              <w:rPr>
                <w:rFonts w:ascii="Cambria" w:eastAsia="Times New Roman" w:hAnsi="Cambria" w:cs="Calibri"/>
                <w:b/>
                <w:bCs/>
                <w:i/>
                <w:iCs/>
                <w:color w:val="000000"/>
                <w:sz w:val="19"/>
                <w:szCs w:val="19"/>
              </w:rPr>
            </w:pPr>
            <w:r w:rsidRPr="008C3EB8">
              <w:rPr>
                <w:rFonts w:ascii="Cambria" w:eastAsia="Times New Roman" w:hAnsi="Cambria" w:cs="Calibri"/>
                <w:b/>
                <w:bCs/>
                <w:i/>
                <w:iCs/>
                <w:color w:val="000000"/>
                <w:sz w:val="19"/>
                <w:szCs w:val="19"/>
              </w:rPr>
              <w:t>p</w:t>
            </w:r>
          </w:p>
        </w:tc>
      </w:tr>
      <w:tr w:rsidR="008C3EB8" w:rsidRPr="008C3EB8" w14:paraId="08E723E6" w14:textId="77777777" w:rsidTr="00B36768">
        <w:trPr>
          <w:trHeight w:val="504"/>
        </w:trPr>
        <w:tc>
          <w:tcPr>
            <w:tcW w:w="1480" w:type="dxa"/>
            <w:shd w:val="clear" w:color="auto" w:fill="auto"/>
            <w:hideMark/>
          </w:tcPr>
          <w:p w14:paraId="6BFFBCE7" w14:textId="77777777" w:rsidR="008C3EB8" w:rsidRPr="008C3EB8" w:rsidRDefault="008C3EB8" w:rsidP="008C3EB8">
            <w:pPr>
              <w:spacing w:after="0" w:line="240" w:lineRule="auto"/>
              <w:rPr>
                <w:rFonts w:ascii="Cambria" w:eastAsia="Times New Roman" w:hAnsi="Cambria" w:cs="Calibri"/>
                <w:color w:val="000000"/>
                <w:sz w:val="19"/>
                <w:szCs w:val="19"/>
              </w:rPr>
            </w:pPr>
            <w:r w:rsidRPr="008C3EB8">
              <w:rPr>
                <w:rFonts w:ascii="Cambria" w:eastAsia="Times New Roman" w:hAnsi="Cambria" w:cs="Calibri"/>
                <w:color w:val="000000"/>
                <w:sz w:val="19"/>
                <w:szCs w:val="19"/>
              </w:rPr>
              <w:t>Lumbar surgery (%)</w:t>
            </w:r>
          </w:p>
        </w:tc>
        <w:tc>
          <w:tcPr>
            <w:tcW w:w="1850" w:type="dxa"/>
            <w:shd w:val="clear" w:color="auto" w:fill="auto"/>
            <w:hideMark/>
          </w:tcPr>
          <w:p w14:paraId="4CFED9C9" w14:textId="77777777" w:rsidR="008C3EB8" w:rsidRPr="008C3EB8" w:rsidRDefault="008C3EB8" w:rsidP="008C3EB8">
            <w:pPr>
              <w:spacing w:after="0" w:line="240" w:lineRule="auto"/>
              <w:jc w:val="right"/>
              <w:rPr>
                <w:rFonts w:ascii="Cambria" w:eastAsia="Times New Roman" w:hAnsi="Cambria" w:cs="Calibri"/>
                <w:color w:val="000000"/>
                <w:sz w:val="19"/>
                <w:szCs w:val="19"/>
              </w:rPr>
            </w:pPr>
            <w:r w:rsidRPr="008C3EB8">
              <w:rPr>
                <w:rFonts w:ascii="Cambria" w:eastAsia="Times New Roman" w:hAnsi="Cambria" w:cs="Calibri"/>
                <w:color w:val="000000"/>
                <w:sz w:val="19"/>
                <w:szCs w:val="19"/>
              </w:rPr>
              <w:t>1.49</w:t>
            </w:r>
          </w:p>
        </w:tc>
        <w:tc>
          <w:tcPr>
            <w:tcW w:w="1980" w:type="dxa"/>
            <w:shd w:val="clear" w:color="auto" w:fill="auto"/>
            <w:hideMark/>
          </w:tcPr>
          <w:p w14:paraId="67F5D533" w14:textId="77777777" w:rsidR="008C3EB8" w:rsidRPr="008C3EB8" w:rsidRDefault="008C3EB8" w:rsidP="008C3EB8">
            <w:pPr>
              <w:spacing w:after="0" w:line="240" w:lineRule="auto"/>
              <w:jc w:val="right"/>
              <w:rPr>
                <w:rFonts w:ascii="Cambria" w:eastAsia="Times New Roman" w:hAnsi="Cambria" w:cs="Calibri"/>
                <w:color w:val="000000"/>
                <w:sz w:val="19"/>
                <w:szCs w:val="19"/>
              </w:rPr>
            </w:pPr>
            <w:r w:rsidRPr="008C3EB8">
              <w:rPr>
                <w:rFonts w:ascii="Cambria" w:eastAsia="Times New Roman" w:hAnsi="Cambria" w:cs="Calibri"/>
                <w:color w:val="000000"/>
                <w:sz w:val="19"/>
                <w:szCs w:val="19"/>
              </w:rPr>
              <w:t>0.09</w:t>
            </w:r>
          </w:p>
        </w:tc>
        <w:tc>
          <w:tcPr>
            <w:tcW w:w="990" w:type="dxa"/>
            <w:shd w:val="clear" w:color="auto" w:fill="auto"/>
            <w:hideMark/>
          </w:tcPr>
          <w:p w14:paraId="5D00F5EB" w14:textId="77777777" w:rsidR="008C3EB8" w:rsidRPr="008C3EB8" w:rsidRDefault="008C3EB8" w:rsidP="008C3EB8">
            <w:pPr>
              <w:spacing w:after="0" w:line="240" w:lineRule="auto"/>
              <w:jc w:val="right"/>
              <w:rPr>
                <w:rFonts w:ascii="Cambria" w:eastAsia="Times New Roman" w:hAnsi="Cambria" w:cs="Calibri"/>
                <w:color w:val="000000"/>
                <w:sz w:val="19"/>
                <w:szCs w:val="19"/>
              </w:rPr>
            </w:pPr>
            <w:r w:rsidRPr="008C3EB8">
              <w:rPr>
                <w:rFonts w:ascii="Cambria" w:eastAsia="Times New Roman" w:hAnsi="Cambria" w:cs="Calibri"/>
                <w:color w:val="000000"/>
                <w:sz w:val="19"/>
                <w:szCs w:val="19"/>
              </w:rPr>
              <w:t>&lt; 0.001</w:t>
            </w:r>
          </w:p>
        </w:tc>
      </w:tr>
      <w:tr w:rsidR="008C3EB8" w:rsidRPr="008C3EB8" w14:paraId="21A126EB" w14:textId="77777777" w:rsidTr="00B36768">
        <w:trPr>
          <w:trHeight w:val="504"/>
        </w:trPr>
        <w:tc>
          <w:tcPr>
            <w:tcW w:w="1480" w:type="dxa"/>
            <w:shd w:val="clear" w:color="auto" w:fill="auto"/>
            <w:hideMark/>
          </w:tcPr>
          <w:p w14:paraId="2658D4C5" w14:textId="77777777" w:rsidR="008C3EB8" w:rsidRPr="008C3EB8" w:rsidRDefault="008C3EB8" w:rsidP="008C3EB8">
            <w:pPr>
              <w:spacing w:after="0" w:line="240" w:lineRule="auto"/>
              <w:rPr>
                <w:rFonts w:ascii="Cambria" w:eastAsia="Times New Roman" w:hAnsi="Cambria" w:cs="Calibri"/>
                <w:color w:val="000000"/>
                <w:sz w:val="19"/>
                <w:szCs w:val="19"/>
              </w:rPr>
            </w:pPr>
            <w:r w:rsidRPr="008C3EB8">
              <w:rPr>
                <w:rFonts w:ascii="Cambria" w:eastAsia="Times New Roman" w:hAnsi="Cambria" w:cs="Calibri"/>
                <w:color w:val="000000"/>
                <w:sz w:val="19"/>
                <w:szCs w:val="19"/>
              </w:rPr>
              <w:t>Prescription opioid use (%)</w:t>
            </w:r>
          </w:p>
        </w:tc>
        <w:tc>
          <w:tcPr>
            <w:tcW w:w="1850" w:type="dxa"/>
            <w:shd w:val="clear" w:color="auto" w:fill="auto"/>
            <w:hideMark/>
          </w:tcPr>
          <w:p w14:paraId="38E75578" w14:textId="77777777" w:rsidR="008C3EB8" w:rsidRPr="008C3EB8" w:rsidRDefault="008C3EB8" w:rsidP="008C3EB8">
            <w:pPr>
              <w:spacing w:after="0" w:line="240" w:lineRule="auto"/>
              <w:jc w:val="right"/>
              <w:rPr>
                <w:rFonts w:ascii="Cambria" w:eastAsia="Times New Roman" w:hAnsi="Cambria" w:cs="Calibri"/>
                <w:color w:val="000000"/>
                <w:sz w:val="19"/>
                <w:szCs w:val="19"/>
              </w:rPr>
            </w:pPr>
            <w:r w:rsidRPr="008C3EB8">
              <w:rPr>
                <w:rFonts w:ascii="Cambria" w:eastAsia="Times New Roman" w:hAnsi="Cambria" w:cs="Calibri"/>
                <w:color w:val="000000"/>
                <w:sz w:val="19"/>
                <w:szCs w:val="19"/>
              </w:rPr>
              <w:t>36.7</w:t>
            </w:r>
          </w:p>
        </w:tc>
        <w:tc>
          <w:tcPr>
            <w:tcW w:w="1980" w:type="dxa"/>
            <w:shd w:val="clear" w:color="auto" w:fill="auto"/>
            <w:hideMark/>
          </w:tcPr>
          <w:p w14:paraId="1DC6B683" w14:textId="77777777" w:rsidR="008C3EB8" w:rsidRPr="008C3EB8" w:rsidRDefault="008C3EB8" w:rsidP="008C3EB8">
            <w:pPr>
              <w:spacing w:after="0" w:line="240" w:lineRule="auto"/>
              <w:jc w:val="right"/>
              <w:rPr>
                <w:rFonts w:ascii="Cambria" w:eastAsia="Times New Roman" w:hAnsi="Cambria" w:cs="Calibri"/>
                <w:color w:val="000000"/>
                <w:sz w:val="19"/>
                <w:szCs w:val="19"/>
              </w:rPr>
            </w:pPr>
            <w:r w:rsidRPr="008C3EB8">
              <w:rPr>
                <w:rFonts w:ascii="Cambria" w:eastAsia="Times New Roman" w:hAnsi="Cambria" w:cs="Calibri"/>
                <w:color w:val="000000"/>
                <w:sz w:val="19"/>
                <w:szCs w:val="19"/>
              </w:rPr>
              <w:t>28.5</w:t>
            </w:r>
          </w:p>
        </w:tc>
        <w:tc>
          <w:tcPr>
            <w:tcW w:w="990" w:type="dxa"/>
            <w:shd w:val="clear" w:color="auto" w:fill="auto"/>
            <w:hideMark/>
          </w:tcPr>
          <w:p w14:paraId="6B5471DD" w14:textId="77777777" w:rsidR="008C3EB8" w:rsidRPr="008C3EB8" w:rsidRDefault="008C3EB8" w:rsidP="008C3EB8">
            <w:pPr>
              <w:spacing w:after="0" w:line="240" w:lineRule="auto"/>
              <w:jc w:val="right"/>
              <w:rPr>
                <w:rFonts w:ascii="Cambria" w:eastAsia="Times New Roman" w:hAnsi="Cambria" w:cs="Calibri"/>
                <w:color w:val="000000"/>
                <w:sz w:val="19"/>
                <w:szCs w:val="19"/>
              </w:rPr>
            </w:pPr>
            <w:r w:rsidRPr="008C3EB8">
              <w:rPr>
                <w:rFonts w:ascii="Cambria" w:eastAsia="Times New Roman" w:hAnsi="Cambria" w:cs="Calibri"/>
                <w:color w:val="000000"/>
                <w:sz w:val="19"/>
                <w:szCs w:val="19"/>
              </w:rPr>
              <w:t>&lt; 0.001</w:t>
            </w:r>
          </w:p>
        </w:tc>
      </w:tr>
    </w:tbl>
    <w:p w14:paraId="34C50E32" w14:textId="0CA0941B" w:rsidR="008C3EB8" w:rsidRDefault="008C3EB8" w:rsidP="00407A33">
      <w:pPr>
        <w:pStyle w:val="p"/>
        <w:shd w:val="clear" w:color="auto" w:fill="FFFFFF"/>
        <w:spacing w:before="400" w:beforeAutospacing="0" w:after="400" w:afterAutospacing="0"/>
        <w:contextualSpacing/>
        <w:rPr>
          <w:rFonts w:ascii="Cambria" w:hAnsi="Cambria"/>
          <w:color w:val="212121"/>
        </w:rPr>
      </w:pPr>
    </w:p>
    <w:p w14:paraId="075E896F" w14:textId="50CB0E96" w:rsidR="00C458D3" w:rsidRDefault="00C458D3" w:rsidP="00407A33">
      <w:pPr>
        <w:pStyle w:val="p"/>
        <w:shd w:val="clear" w:color="auto" w:fill="FFFFFF"/>
        <w:spacing w:before="400" w:beforeAutospacing="0" w:after="400" w:afterAutospacing="0"/>
        <w:contextualSpacing/>
        <w:rPr>
          <w:rFonts w:ascii="Cambria" w:hAnsi="Cambria"/>
          <w:color w:val="212121"/>
        </w:rPr>
      </w:pPr>
    </w:p>
    <w:p w14:paraId="18FB713A" w14:textId="013384A8" w:rsidR="00C458D3" w:rsidRDefault="00C458D3" w:rsidP="00407A33">
      <w:pPr>
        <w:pStyle w:val="p"/>
        <w:shd w:val="clear" w:color="auto" w:fill="FFFFFF"/>
        <w:spacing w:before="400" w:beforeAutospacing="0" w:after="400" w:afterAutospacing="0"/>
        <w:contextualSpacing/>
        <w:rPr>
          <w:rFonts w:ascii="Cambria" w:hAnsi="Cambria"/>
          <w:color w:val="212121"/>
        </w:rPr>
      </w:pPr>
    </w:p>
    <w:p w14:paraId="3074D88E" w14:textId="75F93FBE" w:rsidR="00C458D3" w:rsidRPr="00C458D3" w:rsidRDefault="00C458D3" w:rsidP="00407A33">
      <w:pPr>
        <w:pStyle w:val="p"/>
        <w:shd w:val="clear" w:color="auto" w:fill="FFFFFF"/>
        <w:spacing w:before="400" w:beforeAutospacing="0" w:after="400" w:afterAutospacing="0"/>
        <w:contextualSpacing/>
        <w:rPr>
          <w:rFonts w:ascii="Cambria" w:hAnsi="Cambria"/>
          <w:b/>
          <w:bCs/>
          <w:color w:val="212121"/>
        </w:rPr>
      </w:pPr>
      <w:r>
        <w:rPr>
          <w:rFonts w:ascii="Cambria" w:hAnsi="Cambria"/>
          <w:b/>
          <w:bCs/>
          <w:color w:val="212121"/>
        </w:rPr>
        <w:t>Table 3</w:t>
      </w:r>
    </w:p>
    <w:tbl>
      <w:tblPr>
        <w:tblW w:w="8100" w:type="dxa"/>
        <w:tblBorders>
          <w:top w:val="single" w:sz="8" w:space="0" w:color="000000"/>
          <w:insideH w:val="single" w:sz="4" w:space="0" w:color="auto"/>
          <w:insideV w:val="single" w:sz="4" w:space="0" w:color="auto"/>
        </w:tblBorders>
        <w:tblLook w:val="04A0" w:firstRow="1" w:lastRow="0" w:firstColumn="1" w:lastColumn="0" w:noHBand="0" w:noVBand="1"/>
      </w:tblPr>
      <w:tblGrid>
        <w:gridCol w:w="1222"/>
        <w:gridCol w:w="1838"/>
        <w:gridCol w:w="1800"/>
        <w:gridCol w:w="1080"/>
        <w:gridCol w:w="2160"/>
      </w:tblGrid>
      <w:tr w:rsidR="00C458D3" w:rsidRPr="00C458D3" w14:paraId="043CA4D2" w14:textId="77777777" w:rsidTr="00C458D3">
        <w:trPr>
          <w:trHeight w:val="480"/>
        </w:trPr>
        <w:tc>
          <w:tcPr>
            <w:tcW w:w="1222" w:type="dxa"/>
            <w:vMerge w:val="restart"/>
            <w:shd w:val="clear" w:color="auto" w:fill="auto"/>
            <w:vAlign w:val="bottom"/>
            <w:hideMark/>
          </w:tcPr>
          <w:p w14:paraId="29EABF9D" w14:textId="77777777" w:rsidR="00C458D3" w:rsidRPr="00C458D3" w:rsidRDefault="00C458D3" w:rsidP="00C458D3">
            <w:pPr>
              <w:spacing w:after="0" w:line="240" w:lineRule="auto"/>
              <w:rPr>
                <w:rFonts w:ascii="Cambria" w:eastAsia="Times New Roman" w:hAnsi="Cambria" w:cs="Calibri"/>
                <w:b/>
                <w:bCs/>
                <w:color w:val="000000"/>
                <w:sz w:val="19"/>
                <w:szCs w:val="19"/>
              </w:rPr>
            </w:pPr>
            <w:r w:rsidRPr="00C458D3">
              <w:rPr>
                <w:rFonts w:ascii="Cambria" w:eastAsia="Times New Roman" w:hAnsi="Cambria" w:cs="Calibri"/>
                <w:b/>
                <w:bCs/>
                <w:color w:val="000000"/>
                <w:sz w:val="19"/>
                <w:szCs w:val="19"/>
              </w:rPr>
              <w:lastRenderedPageBreak/>
              <w:t>Outcome</w:t>
            </w:r>
          </w:p>
        </w:tc>
        <w:tc>
          <w:tcPr>
            <w:tcW w:w="3638" w:type="dxa"/>
            <w:gridSpan w:val="2"/>
            <w:shd w:val="clear" w:color="auto" w:fill="auto"/>
            <w:vAlign w:val="bottom"/>
            <w:hideMark/>
          </w:tcPr>
          <w:p w14:paraId="2DC5BA36" w14:textId="77777777" w:rsidR="00C458D3" w:rsidRPr="00C458D3" w:rsidRDefault="00C458D3" w:rsidP="00C458D3">
            <w:pPr>
              <w:spacing w:after="0" w:line="240" w:lineRule="auto"/>
              <w:rPr>
                <w:rFonts w:ascii="Cambria" w:eastAsia="Times New Roman" w:hAnsi="Cambria" w:cs="Calibri"/>
                <w:b/>
                <w:bCs/>
                <w:color w:val="000000"/>
                <w:sz w:val="19"/>
                <w:szCs w:val="19"/>
              </w:rPr>
            </w:pPr>
            <w:r w:rsidRPr="00C458D3">
              <w:rPr>
                <w:rFonts w:ascii="Cambria" w:eastAsia="Times New Roman" w:hAnsi="Cambria" w:cs="Calibri"/>
                <w:b/>
                <w:bCs/>
                <w:color w:val="000000"/>
                <w:sz w:val="19"/>
                <w:szCs w:val="19"/>
              </w:rPr>
              <w:t>Adjusted mean</w:t>
            </w:r>
          </w:p>
        </w:tc>
        <w:tc>
          <w:tcPr>
            <w:tcW w:w="1080" w:type="dxa"/>
            <w:vMerge w:val="restart"/>
            <w:shd w:val="clear" w:color="auto" w:fill="auto"/>
            <w:vAlign w:val="bottom"/>
            <w:hideMark/>
          </w:tcPr>
          <w:p w14:paraId="15856ABC" w14:textId="77777777" w:rsidR="00C458D3" w:rsidRPr="00C458D3" w:rsidRDefault="00C458D3" w:rsidP="00C458D3">
            <w:pPr>
              <w:spacing w:after="0" w:line="240" w:lineRule="auto"/>
              <w:rPr>
                <w:rFonts w:ascii="Cambria" w:eastAsia="Times New Roman" w:hAnsi="Cambria" w:cs="Calibri"/>
                <w:b/>
                <w:bCs/>
                <w:i/>
                <w:iCs/>
                <w:color w:val="000000"/>
                <w:sz w:val="19"/>
                <w:szCs w:val="19"/>
              </w:rPr>
            </w:pPr>
            <w:r w:rsidRPr="00C458D3">
              <w:rPr>
                <w:rFonts w:ascii="Cambria" w:eastAsia="Times New Roman" w:hAnsi="Cambria" w:cs="Calibri"/>
                <w:b/>
                <w:bCs/>
                <w:i/>
                <w:iCs/>
                <w:color w:val="000000"/>
                <w:sz w:val="19"/>
                <w:szCs w:val="19"/>
              </w:rPr>
              <w:t>p</w:t>
            </w:r>
          </w:p>
        </w:tc>
        <w:tc>
          <w:tcPr>
            <w:tcW w:w="2160" w:type="dxa"/>
            <w:vMerge w:val="restart"/>
            <w:shd w:val="clear" w:color="auto" w:fill="auto"/>
            <w:vAlign w:val="bottom"/>
            <w:hideMark/>
          </w:tcPr>
          <w:p w14:paraId="3A5C5BDB" w14:textId="77777777" w:rsidR="00C458D3" w:rsidRPr="00C458D3" w:rsidRDefault="00C458D3" w:rsidP="00C458D3">
            <w:pPr>
              <w:spacing w:after="0" w:line="240" w:lineRule="auto"/>
              <w:rPr>
                <w:rFonts w:ascii="Cambria" w:eastAsia="Times New Roman" w:hAnsi="Cambria" w:cs="Calibri"/>
                <w:b/>
                <w:bCs/>
                <w:color w:val="000000"/>
                <w:sz w:val="19"/>
                <w:szCs w:val="19"/>
              </w:rPr>
            </w:pPr>
            <w:r w:rsidRPr="00C458D3">
              <w:rPr>
                <w:rFonts w:ascii="Cambria" w:eastAsia="Times New Roman" w:hAnsi="Cambria" w:cs="Calibri"/>
                <w:b/>
                <w:bCs/>
                <w:color w:val="000000"/>
                <w:sz w:val="19"/>
                <w:szCs w:val="19"/>
              </w:rPr>
              <w:t>Relative risk [95% CI]</w:t>
            </w:r>
          </w:p>
        </w:tc>
      </w:tr>
      <w:tr w:rsidR="00C458D3" w:rsidRPr="00C458D3" w14:paraId="16EC47DD" w14:textId="77777777" w:rsidTr="00C458D3">
        <w:trPr>
          <w:trHeight w:val="1020"/>
        </w:trPr>
        <w:tc>
          <w:tcPr>
            <w:tcW w:w="1222" w:type="dxa"/>
            <w:vMerge/>
            <w:vAlign w:val="center"/>
            <w:hideMark/>
          </w:tcPr>
          <w:p w14:paraId="258BD1F9" w14:textId="77777777" w:rsidR="00C458D3" w:rsidRPr="00C458D3" w:rsidRDefault="00C458D3" w:rsidP="00C458D3">
            <w:pPr>
              <w:spacing w:after="0" w:line="240" w:lineRule="auto"/>
              <w:rPr>
                <w:rFonts w:ascii="Cambria" w:eastAsia="Times New Roman" w:hAnsi="Cambria" w:cs="Calibri"/>
                <w:b/>
                <w:bCs/>
                <w:color w:val="000000"/>
                <w:sz w:val="19"/>
                <w:szCs w:val="19"/>
              </w:rPr>
            </w:pPr>
          </w:p>
        </w:tc>
        <w:tc>
          <w:tcPr>
            <w:tcW w:w="1838" w:type="dxa"/>
            <w:shd w:val="clear" w:color="auto" w:fill="auto"/>
            <w:vAlign w:val="bottom"/>
            <w:hideMark/>
          </w:tcPr>
          <w:p w14:paraId="00031474" w14:textId="77777777" w:rsidR="00C458D3" w:rsidRPr="00C458D3" w:rsidRDefault="00C458D3" w:rsidP="00C458D3">
            <w:pPr>
              <w:spacing w:after="0" w:line="240" w:lineRule="auto"/>
              <w:rPr>
                <w:rFonts w:ascii="Cambria" w:eastAsia="Times New Roman" w:hAnsi="Cambria" w:cs="Calibri"/>
                <w:b/>
                <w:bCs/>
                <w:color w:val="000000"/>
                <w:sz w:val="19"/>
                <w:szCs w:val="19"/>
              </w:rPr>
            </w:pPr>
            <w:r w:rsidRPr="00C458D3">
              <w:rPr>
                <w:rFonts w:ascii="Cambria" w:eastAsia="Times New Roman" w:hAnsi="Cambria" w:cs="Calibri"/>
                <w:b/>
                <w:bCs/>
                <w:color w:val="000000"/>
                <w:sz w:val="19"/>
                <w:szCs w:val="19"/>
              </w:rPr>
              <w:t>With early MRI (</w:t>
            </w:r>
            <w:r w:rsidRPr="00C458D3">
              <w:rPr>
                <w:rFonts w:ascii="Cambria" w:eastAsia="Times New Roman" w:hAnsi="Cambria" w:cs="Calibri"/>
                <w:b/>
                <w:bCs/>
                <w:i/>
                <w:iCs/>
                <w:color w:val="000000"/>
                <w:sz w:val="19"/>
                <w:szCs w:val="19"/>
              </w:rPr>
              <w:t>N</w:t>
            </w:r>
            <w:r w:rsidRPr="00C458D3">
              <w:rPr>
                <w:rFonts w:ascii="Cambria" w:eastAsia="Times New Roman" w:hAnsi="Cambria" w:cs="Calibri"/>
                <w:b/>
                <w:bCs/>
                <w:color w:val="000000"/>
                <w:sz w:val="19"/>
                <w:szCs w:val="19"/>
              </w:rPr>
              <w:t> = 9977)</w:t>
            </w:r>
          </w:p>
        </w:tc>
        <w:tc>
          <w:tcPr>
            <w:tcW w:w="1800" w:type="dxa"/>
            <w:shd w:val="clear" w:color="auto" w:fill="auto"/>
            <w:vAlign w:val="bottom"/>
            <w:hideMark/>
          </w:tcPr>
          <w:p w14:paraId="11345533" w14:textId="77777777" w:rsidR="00C458D3" w:rsidRPr="00C458D3" w:rsidRDefault="00C458D3" w:rsidP="00C458D3">
            <w:pPr>
              <w:spacing w:after="0" w:line="240" w:lineRule="auto"/>
              <w:rPr>
                <w:rFonts w:ascii="Cambria" w:eastAsia="Times New Roman" w:hAnsi="Cambria" w:cs="Calibri"/>
                <w:b/>
                <w:bCs/>
                <w:color w:val="000000"/>
                <w:sz w:val="19"/>
                <w:szCs w:val="19"/>
              </w:rPr>
            </w:pPr>
            <w:r w:rsidRPr="00C458D3">
              <w:rPr>
                <w:rFonts w:ascii="Cambria" w:eastAsia="Times New Roman" w:hAnsi="Cambria" w:cs="Calibri"/>
                <w:b/>
                <w:bCs/>
                <w:color w:val="000000"/>
                <w:sz w:val="19"/>
                <w:szCs w:val="19"/>
              </w:rPr>
              <w:t>Without early MRI (</w:t>
            </w:r>
            <w:r w:rsidRPr="00C458D3">
              <w:rPr>
                <w:rFonts w:ascii="Cambria" w:eastAsia="Times New Roman" w:hAnsi="Cambria" w:cs="Calibri"/>
                <w:b/>
                <w:bCs/>
                <w:i/>
                <w:iCs/>
                <w:color w:val="000000"/>
                <w:sz w:val="19"/>
                <w:szCs w:val="19"/>
              </w:rPr>
              <w:t>N</w:t>
            </w:r>
            <w:r w:rsidRPr="00C458D3">
              <w:rPr>
                <w:rFonts w:ascii="Cambria" w:eastAsia="Times New Roman" w:hAnsi="Cambria" w:cs="Calibri"/>
                <w:b/>
                <w:bCs/>
                <w:color w:val="000000"/>
                <w:sz w:val="19"/>
                <w:szCs w:val="19"/>
              </w:rPr>
              <w:t> = 395,718)</w:t>
            </w:r>
          </w:p>
        </w:tc>
        <w:tc>
          <w:tcPr>
            <w:tcW w:w="1080" w:type="dxa"/>
            <w:vMerge/>
            <w:vAlign w:val="center"/>
            <w:hideMark/>
          </w:tcPr>
          <w:p w14:paraId="1FB53BB4" w14:textId="77777777" w:rsidR="00C458D3" w:rsidRPr="00C458D3" w:rsidRDefault="00C458D3" w:rsidP="00C458D3">
            <w:pPr>
              <w:spacing w:after="0" w:line="240" w:lineRule="auto"/>
              <w:rPr>
                <w:rFonts w:ascii="Cambria" w:eastAsia="Times New Roman" w:hAnsi="Cambria" w:cs="Calibri"/>
                <w:b/>
                <w:bCs/>
                <w:i/>
                <w:iCs/>
                <w:color w:val="000000"/>
                <w:sz w:val="19"/>
                <w:szCs w:val="19"/>
              </w:rPr>
            </w:pPr>
          </w:p>
        </w:tc>
        <w:tc>
          <w:tcPr>
            <w:tcW w:w="2160" w:type="dxa"/>
            <w:vMerge/>
            <w:vAlign w:val="center"/>
            <w:hideMark/>
          </w:tcPr>
          <w:p w14:paraId="06C03635" w14:textId="77777777" w:rsidR="00C458D3" w:rsidRPr="00C458D3" w:rsidRDefault="00C458D3" w:rsidP="00C458D3">
            <w:pPr>
              <w:spacing w:after="0" w:line="240" w:lineRule="auto"/>
              <w:rPr>
                <w:rFonts w:ascii="Cambria" w:eastAsia="Times New Roman" w:hAnsi="Cambria" w:cs="Calibri"/>
                <w:b/>
                <w:bCs/>
                <w:color w:val="000000"/>
                <w:sz w:val="19"/>
                <w:szCs w:val="19"/>
              </w:rPr>
            </w:pPr>
          </w:p>
        </w:tc>
      </w:tr>
      <w:tr w:rsidR="00C458D3" w:rsidRPr="00C458D3" w14:paraId="1C8A654F" w14:textId="77777777" w:rsidTr="00C458D3">
        <w:trPr>
          <w:trHeight w:val="756"/>
        </w:trPr>
        <w:tc>
          <w:tcPr>
            <w:tcW w:w="1222" w:type="dxa"/>
            <w:shd w:val="clear" w:color="auto" w:fill="auto"/>
            <w:hideMark/>
          </w:tcPr>
          <w:p w14:paraId="018DB8C0" w14:textId="77777777" w:rsidR="00C458D3" w:rsidRPr="00C458D3" w:rsidRDefault="00C458D3" w:rsidP="00C458D3">
            <w:pPr>
              <w:spacing w:after="0" w:line="240" w:lineRule="auto"/>
              <w:rPr>
                <w:rFonts w:ascii="Cambria" w:eastAsia="Times New Roman" w:hAnsi="Cambria" w:cs="Calibri"/>
                <w:color w:val="000000"/>
                <w:sz w:val="19"/>
                <w:szCs w:val="19"/>
              </w:rPr>
            </w:pPr>
            <w:r w:rsidRPr="00C458D3">
              <w:rPr>
                <w:rFonts w:ascii="Cambria" w:eastAsia="Times New Roman" w:hAnsi="Cambria" w:cs="Calibri"/>
                <w:color w:val="000000"/>
                <w:sz w:val="19"/>
                <w:szCs w:val="19"/>
              </w:rPr>
              <w:t>Lumbar surgery (%)</w:t>
            </w:r>
          </w:p>
        </w:tc>
        <w:tc>
          <w:tcPr>
            <w:tcW w:w="1838" w:type="dxa"/>
            <w:shd w:val="clear" w:color="auto" w:fill="auto"/>
            <w:hideMark/>
          </w:tcPr>
          <w:p w14:paraId="34F55636" w14:textId="77777777" w:rsidR="00C458D3" w:rsidRPr="00C458D3" w:rsidRDefault="00C458D3" w:rsidP="00C458D3">
            <w:pPr>
              <w:spacing w:after="0" w:line="240" w:lineRule="auto"/>
              <w:jc w:val="right"/>
              <w:rPr>
                <w:rFonts w:ascii="Cambria" w:eastAsia="Times New Roman" w:hAnsi="Cambria" w:cs="Calibri"/>
                <w:color w:val="000000"/>
                <w:sz w:val="19"/>
                <w:szCs w:val="19"/>
              </w:rPr>
            </w:pPr>
            <w:r w:rsidRPr="00C458D3">
              <w:rPr>
                <w:rFonts w:ascii="Cambria" w:eastAsia="Times New Roman" w:hAnsi="Cambria" w:cs="Calibri"/>
                <w:color w:val="000000"/>
                <w:sz w:val="19"/>
                <w:szCs w:val="19"/>
              </w:rPr>
              <w:t>1.48</w:t>
            </w:r>
          </w:p>
        </w:tc>
        <w:tc>
          <w:tcPr>
            <w:tcW w:w="1800" w:type="dxa"/>
            <w:shd w:val="clear" w:color="auto" w:fill="auto"/>
            <w:hideMark/>
          </w:tcPr>
          <w:p w14:paraId="42F91725" w14:textId="77777777" w:rsidR="00C458D3" w:rsidRPr="00C458D3" w:rsidRDefault="00C458D3" w:rsidP="00C458D3">
            <w:pPr>
              <w:spacing w:after="0" w:line="240" w:lineRule="auto"/>
              <w:jc w:val="right"/>
              <w:rPr>
                <w:rFonts w:ascii="Cambria" w:eastAsia="Times New Roman" w:hAnsi="Cambria" w:cs="Calibri"/>
                <w:color w:val="000000"/>
                <w:sz w:val="19"/>
                <w:szCs w:val="19"/>
              </w:rPr>
            </w:pPr>
            <w:r w:rsidRPr="00C458D3">
              <w:rPr>
                <w:rFonts w:ascii="Cambria" w:eastAsia="Times New Roman" w:hAnsi="Cambria" w:cs="Calibri"/>
                <w:color w:val="000000"/>
                <w:sz w:val="19"/>
                <w:szCs w:val="19"/>
              </w:rPr>
              <w:t>0.12</w:t>
            </w:r>
          </w:p>
        </w:tc>
        <w:tc>
          <w:tcPr>
            <w:tcW w:w="1080" w:type="dxa"/>
            <w:shd w:val="clear" w:color="auto" w:fill="auto"/>
            <w:hideMark/>
          </w:tcPr>
          <w:p w14:paraId="68F9B2A4" w14:textId="77777777" w:rsidR="00C458D3" w:rsidRPr="00C458D3" w:rsidRDefault="00C458D3" w:rsidP="00C458D3">
            <w:pPr>
              <w:spacing w:after="0" w:line="240" w:lineRule="auto"/>
              <w:jc w:val="right"/>
              <w:rPr>
                <w:rFonts w:ascii="Cambria" w:eastAsia="Times New Roman" w:hAnsi="Cambria" w:cs="Calibri"/>
                <w:color w:val="000000"/>
                <w:sz w:val="19"/>
                <w:szCs w:val="19"/>
              </w:rPr>
            </w:pPr>
            <w:r w:rsidRPr="00C458D3">
              <w:rPr>
                <w:rFonts w:ascii="Cambria" w:eastAsia="Times New Roman" w:hAnsi="Cambria" w:cs="Calibri"/>
                <w:color w:val="000000"/>
                <w:sz w:val="19"/>
                <w:szCs w:val="19"/>
              </w:rPr>
              <w:t>&lt; 0.001</w:t>
            </w:r>
          </w:p>
        </w:tc>
        <w:tc>
          <w:tcPr>
            <w:tcW w:w="2160" w:type="dxa"/>
            <w:shd w:val="clear" w:color="auto" w:fill="auto"/>
            <w:hideMark/>
          </w:tcPr>
          <w:p w14:paraId="4E47335D" w14:textId="77777777" w:rsidR="00C458D3" w:rsidRPr="00C458D3" w:rsidRDefault="00C458D3" w:rsidP="00C458D3">
            <w:pPr>
              <w:spacing w:after="0" w:line="240" w:lineRule="auto"/>
              <w:jc w:val="right"/>
              <w:rPr>
                <w:rFonts w:ascii="Cambria" w:eastAsia="Times New Roman" w:hAnsi="Cambria" w:cs="Calibri"/>
                <w:color w:val="000000"/>
                <w:sz w:val="19"/>
                <w:szCs w:val="19"/>
              </w:rPr>
            </w:pPr>
            <w:r w:rsidRPr="00C458D3">
              <w:rPr>
                <w:rFonts w:ascii="Cambria" w:eastAsia="Times New Roman" w:hAnsi="Cambria" w:cs="Calibri"/>
                <w:color w:val="000000"/>
                <w:sz w:val="19"/>
                <w:szCs w:val="19"/>
              </w:rPr>
              <w:t>12.7 [10.3–15.5]</w:t>
            </w:r>
          </w:p>
        </w:tc>
      </w:tr>
      <w:tr w:rsidR="00C458D3" w:rsidRPr="00C458D3" w14:paraId="6C58F25E" w14:textId="77777777" w:rsidTr="00C458D3">
        <w:trPr>
          <w:trHeight w:val="756"/>
        </w:trPr>
        <w:tc>
          <w:tcPr>
            <w:tcW w:w="1222" w:type="dxa"/>
            <w:shd w:val="clear" w:color="auto" w:fill="auto"/>
            <w:hideMark/>
          </w:tcPr>
          <w:p w14:paraId="045D381B" w14:textId="77777777" w:rsidR="00C458D3" w:rsidRPr="00C458D3" w:rsidRDefault="00C458D3" w:rsidP="00C458D3">
            <w:pPr>
              <w:spacing w:after="0" w:line="240" w:lineRule="auto"/>
              <w:rPr>
                <w:rFonts w:ascii="Cambria" w:eastAsia="Times New Roman" w:hAnsi="Cambria" w:cs="Calibri"/>
                <w:color w:val="000000"/>
                <w:sz w:val="19"/>
                <w:szCs w:val="19"/>
              </w:rPr>
            </w:pPr>
            <w:r w:rsidRPr="00C458D3">
              <w:rPr>
                <w:rFonts w:ascii="Cambria" w:eastAsia="Times New Roman" w:hAnsi="Cambria" w:cs="Calibri"/>
                <w:color w:val="000000"/>
                <w:sz w:val="19"/>
                <w:szCs w:val="19"/>
              </w:rPr>
              <w:t>Prescription opioid use (%)</w:t>
            </w:r>
          </w:p>
        </w:tc>
        <w:tc>
          <w:tcPr>
            <w:tcW w:w="1838" w:type="dxa"/>
            <w:shd w:val="clear" w:color="auto" w:fill="auto"/>
            <w:hideMark/>
          </w:tcPr>
          <w:p w14:paraId="073E2453" w14:textId="77777777" w:rsidR="00C458D3" w:rsidRPr="00C458D3" w:rsidRDefault="00C458D3" w:rsidP="00C458D3">
            <w:pPr>
              <w:spacing w:after="0" w:line="240" w:lineRule="auto"/>
              <w:jc w:val="right"/>
              <w:rPr>
                <w:rFonts w:ascii="Cambria" w:eastAsia="Times New Roman" w:hAnsi="Cambria" w:cs="Calibri"/>
                <w:color w:val="000000"/>
                <w:sz w:val="19"/>
                <w:szCs w:val="19"/>
              </w:rPr>
            </w:pPr>
            <w:r w:rsidRPr="00C458D3">
              <w:rPr>
                <w:rFonts w:ascii="Cambria" w:eastAsia="Times New Roman" w:hAnsi="Cambria" w:cs="Calibri"/>
                <w:color w:val="000000"/>
                <w:sz w:val="19"/>
                <w:szCs w:val="19"/>
              </w:rPr>
              <w:t>35.1</w:t>
            </w:r>
          </w:p>
        </w:tc>
        <w:tc>
          <w:tcPr>
            <w:tcW w:w="1800" w:type="dxa"/>
            <w:shd w:val="clear" w:color="auto" w:fill="auto"/>
            <w:hideMark/>
          </w:tcPr>
          <w:p w14:paraId="760446B0" w14:textId="77777777" w:rsidR="00C458D3" w:rsidRPr="00C458D3" w:rsidRDefault="00C458D3" w:rsidP="00C458D3">
            <w:pPr>
              <w:spacing w:after="0" w:line="240" w:lineRule="auto"/>
              <w:jc w:val="right"/>
              <w:rPr>
                <w:rFonts w:ascii="Cambria" w:eastAsia="Times New Roman" w:hAnsi="Cambria" w:cs="Calibri"/>
                <w:color w:val="000000"/>
                <w:sz w:val="19"/>
                <w:szCs w:val="19"/>
              </w:rPr>
            </w:pPr>
            <w:r w:rsidRPr="00C458D3">
              <w:rPr>
                <w:rFonts w:ascii="Cambria" w:eastAsia="Times New Roman" w:hAnsi="Cambria" w:cs="Calibri"/>
                <w:color w:val="000000"/>
                <w:sz w:val="19"/>
                <w:szCs w:val="19"/>
              </w:rPr>
              <w:t>28.6</w:t>
            </w:r>
          </w:p>
        </w:tc>
        <w:tc>
          <w:tcPr>
            <w:tcW w:w="1080" w:type="dxa"/>
            <w:shd w:val="clear" w:color="auto" w:fill="auto"/>
            <w:hideMark/>
          </w:tcPr>
          <w:p w14:paraId="1D18B32B" w14:textId="77777777" w:rsidR="00C458D3" w:rsidRPr="00C458D3" w:rsidRDefault="00C458D3" w:rsidP="00C458D3">
            <w:pPr>
              <w:spacing w:after="0" w:line="240" w:lineRule="auto"/>
              <w:jc w:val="right"/>
              <w:rPr>
                <w:rFonts w:ascii="Cambria" w:eastAsia="Times New Roman" w:hAnsi="Cambria" w:cs="Calibri"/>
                <w:color w:val="000000"/>
                <w:sz w:val="19"/>
                <w:szCs w:val="19"/>
              </w:rPr>
            </w:pPr>
            <w:r w:rsidRPr="00C458D3">
              <w:rPr>
                <w:rFonts w:ascii="Cambria" w:eastAsia="Times New Roman" w:hAnsi="Cambria" w:cs="Calibri"/>
                <w:color w:val="000000"/>
                <w:sz w:val="19"/>
                <w:szCs w:val="19"/>
              </w:rPr>
              <w:t>&lt; 0.001</w:t>
            </w:r>
          </w:p>
        </w:tc>
        <w:tc>
          <w:tcPr>
            <w:tcW w:w="2160" w:type="dxa"/>
            <w:shd w:val="clear" w:color="auto" w:fill="auto"/>
            <w:hideMark/>
          </w:tcPr>
          <w:p w14:paraId="579E3B62" w14:textId="77777777" w:rsidR="00C458D3" w:rsidRPr="00C458D3" w:rsidRDefault="00C458D3" w:rsidP="00C458D3">
            <w:pPr>
              <w:spacing w:after="0" w:line="240" w:lineRule="auto"/>
              <w:jc w:val="right"/>
              <w:rPr>
                <w:rFonts w:ascii="Cambria" w:eastAsia="Times New Roman" w:hAnsi="Cambria" w:cs="Calibri"/>
                <w:color w:val="000000"/>
                <w:sz w:val="19"/>
                <w:szCs w:val="19"/>
              </w:rPr>
            </w:pPr>
            <w:r w:rsidRPr="00C458D3">
              <w:rPr>
                <w:rFonts w:ascii="Cambria" w:eastAsia="Times New Roman" w:hAnsi="Cambria" w:cs="Calibri"/>
                <w:color w:val="000000"/>
                <w:sz w:val="19"/>
                <w:szCs w:val="19"/>
              </w:rPr>
              <w:t>1.23 [1.20–1.27]</w:t>
            </w:r>
          </w:p>
        </w:tc>
      </w:tr>
    </w:tbl>
    <w:p w14:paraId="073E9ED0" w14:textId="77777777" w:rsidR="00C458D3" w:rsidRPr="0016170F" w:rsidRDefault="00C458D3" w:rsidP="00407A33">
      <w:pPr>
        <w:pStyle w:val="p"/>
        <w:shd w:val="clear" w:color="auto" w:fill="FFFFFF"/>
        <w:spacing w:before="400" w:beforeAutospacing="0" w:after="400" w:afterAutospacing="0"/>
        <w:contextualSpacing/>
        <w:rPr>
          <w:rFonts w:ascii="Cambria" w:hAnsi="Cambria"/>
          <w:color w:val="212121"/>
        </w:rPr>
      </w:pPr>
    </w:p>
    <w:sectPr w:rsidR="00C458D3" w:rsidRPr="00161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CD9"/>
    <w:rsid w:val="0016170F"/>
    <w:rsid w:val="00252C21"/>
    <w:rsid w:val="00280969"/>
    <w:rsid w:val="002D6425"/>
    <w:rsid w:val="00330A87"/>
    <w:rsid w:val="00407A33"/>
    <w:rsid w:val="004575A2"/>
    <w:rsid w:val="0067648D"/>
    <w:rsid w:val="007E11DF"/>
    <w:rsid w:val="008C3EB8"/>
    <w:rsid w:val="00970423"/>
    <w:rsid w:val="00984CD9"/>
    <w:rsid w:val="00B36768"/>
    <w:rsid w:val="00C31094"/>
    <w:rsid w:val="00C43FC3"/>
    <w:rsid w:val="00C458D3"/>
    <w:rsid w:val="00F2175F"/>
    <w:rsid w:val="00F7290C"/>
    <w:rsid w:val="00FB3D81"/>
    <w:rsid w:val="00FB5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A2159"/>
  <w15:chartTrackingRefBased/>
  <w15:docId w15:val="{C2490ACF-A299-4B61-A487-4BDE73AFA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4C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4C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84C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4C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4CD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84CD9"/>
    <w:rPr>
      <w:rFonts w:ascii="Times New Roman" w:eastAsia="Times New Roman" w:hAnsi="Times New Roman" w:cs="Times New Roman"/>
      <w:b/>
      <w:bCs/>
      <w:sz w:val="24"/>
      <w:szCs w:val="24"/>
    </w:rPr>
  </w:style>
  <w:style w:type="paragraph" w:customStyle="1" w:styleId="p">
    <w:name w:val="p"/>
    <w:basedOn w:val="Normal"/>
    <w:rsid w:val="00984C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4CD9"/>
    <w:rPr>
      <w:color w:val="0000FF"/>
      <w:u w:val="single"/>
    </w:rPr>
  </w:style>
  <w:style w:type="paragraph" w:styleId="NormalWeb">
    <w:name w:val="Normal (Web)"/>
    <w:basedOn w:val="Normal"/>
    <w:uiPriority w:val="99"/>
    <w:unhideWhenUsed/>
    <w:rsid w:val="00984C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popup-sensitive-area">
    <w:name w:val="figpopup-sensitive-area"/>
    <w:basedOn w:val="DefaultParagraphFont"/>
    <w:rsid w:val="00984CD9"/>
  </w:style>
  <w:style w:type="character" w:styleId="Emphasis">
    <w:name w:val="Emphasis"/>
    <w:basedOn w:val="DefaultParagraphFont"/>
    <w:uiPriority w:val="20"/>
    <w:qFormat/>
    <w:rsid w:val="00984C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4182">
      <w:marLeft w:val="0"/>
      <w:marRight w:val="0"/>
      <w:marTop w:val="0"/>
      <w:marBottom w:val="0"/>
      <w:divBdr>
        <w:top w:val="none" w:sz="0" w:space="0" w:color="auto"/>
        <w:left w:val="none" w:sz="0" w:space="0" w:color="auto"/>
        <w:bottom w:val="none" w:sz="0" w:space="0" w:color="auto"/>
        <w:right w:val="none" w:sz="0" w:space="0" w:color="auto"/>
      </w:divBdr>
    </w:div>
    <w:div w:id="234322485">
      <w:bodyDiv w:val="1"/>
      <w:marLeft w:val="0"/>
      <w:marRight w:val="0"/>
      <w:marTop w:val="0"/>
      <w:marBottom w:val="0"/>
      <w:divBdr>
        <w:top w:val="none" w:sz="0" w:space="0" w:color="auto"/>
        <w:left w:val="none" w:sz="0" w:space="0" w:color="auto"/>
        <w:bottom w:val="none" w:sz="0" w:space="0" w:color="auto"/>
        <w:right w:val="none" w:sz="0" w:space="0" w:color="auto"/>
      </w:divBdr>
      <w:divsChild>
        <w:div w:id="402487560">
          <w:marLeft w:val="0"/>
          <w:marRight w:val="0"/>
          <w:marTop w:val="400"/>
          <w:marBottom w:val="400"/>
          <w:divBdr>
            <w:top w:val="none" w:sz="0" w:space="0" w:color="auto"/>
            <w:left w:val="none" w:sz="0" w:space="0" w:color="auto"/>
            <w:bottom w:val="none" w:sz="0" w:space="0" w:color="auto"/>
            <w:right w:val="none" w:sz="0" w:space="0" w:color="auto"/>
          </w:divBdr>
        </w:div>
        <w:div w:id="1622880967">
          <w:marLeft w:val="0"/>
          <w:marRight w:val="0"/>
          <w:marTop w:val="400"/>
          <w:marBottom w:val="400"/>
          <w:divBdr>
            <w:top w:val="none" w:sz="0" w:space="0" w:color="auto"/>
            <w:left w:val="none" w:sz="0" w:space="0" w:color="auto"/>
            <w:bottom w:val="none" w:sz="0" w:space="0" w:color="auto"/>
            <w:right w:val="none" w:sz="0" w:space="0" w:color="auto"/>
          </w:divBdr>
          <w:divsChild>
            <w:div w:id="1350378121">
              <w:marLeft w:val="0"/>
              <w:marRight w:val="0"/>
              <w:marTop w:val="400"/>
              <w:marBottom w:val="400"/>
              <w:divBdr>
                <w:top w:val="none" w:sz="0" w:space="0" w:color="auto"/>
                <w:left w:val="none" w:sz="0" w:space="0" w:color="auto"/>
                <w:bottom w:val="none" w:sz="0" w:space="0" w:color="auto"/>
                <w:right w:val="none" w:sz="0" w:space="0" w:color="auto"/>
              </w:divBdr>
            </w:div>
            <w:div w:id="1893230011">
              <w:marLeft w:val="0"/>
              <w:marRight w:val="0"/>
              <w:marTop w:val="400"/>
              <w:marBottom w:val="400"/>
              <w:divBdr>
                <w:top w:val="none" w:sz="0" w:space="0" w:color="auto"/>
                <w:left w:val="none" w:sz="0" w:space="0" w:color="auto"/>
                <w:bottom w:val="none" w:sz="0" w:space="0" w:color="auto"/>
                <w:right w:val="none" w:sz="0" w:space="0" w:color="auto"/>
              </w:divBdr>
            </w:div>
            <w:div w:id="1330719407">
              <w:marLeft w:val="0"/>
              <w:marRight w:val="0"/>
              <w:marTop w:val="400"/>
              <w:marBottom w:val="400"/>
              <w:divBdr>
                <w:top w:val="none" w:sz="0" w:space="0" w:color="auto"/>
                <w:left w:val="none" w:sz="0" w:space="0" w:color="auto"/>
                <w:bottom w:val="none" w:sz="0" w:space="0" w:color="auto"/>
                <w:right w:val="none" w:sz="0" w:space="0" w:color="auto"/>
              </w:divBdr>
            </w:div>
            <w:div w:id="1441293388">
              <w:marLeft w:val="0"/>
              <w:marRight w:val="0"/>
              <w:marTop w:val="400"/>
              <w:marBottom w:val="400"/>
              <w:divBdr>
                <w:top w:val="none" w:sz="0" w:space="0" w:color="auto"/>
                <w:left w:val="none" w:sz="0" w:space="0" w:color="auto"/>
                <w:bottom w:val="none" w:sz="0" w:space="0" w:color="auto"/>
                <w:right w:val="none" w:sz="0" w:space="0" w:color="auto"/>
              </w:divBdr>
              <w:divsChild>
                <w:div w:id="150410795">
                  <w:marLeft w:val="0"/>
                  <w:marRight w:val="0"/>
                  <w:marTop w:val="400"/>
                  <w:marBottom w:val="400"/>
                  <w:divBdr>
                    <w:top w:val="none" w:sz="0" w:space="0" w:color="auto"/>
                    <w:left w:val="none" w:sz="0" w:space="0" w:color="auto"/>
                    <w:bottom w:val="none" w:sz="0" w:space="0" w:color="auto"/>
                    <w:right w:val="none" w:sz="0" w:space="0" w:color="auto"/>
                  </w:divBdr>
                </w:div>
                <w:div w:id="1828550095">
                  <w:marLeft w:val="0"/>
                  <w:marRight w:val="0"/>
                  <w:marTop w:val="400"/>
                  <w:marBottom w:val="400"/>
                  <w:divBdr>
                    <w:top w:val="none" w:sz="0" w:space="0" w:color="auto"/>
                    <w:left w:val="none" w:sz="0" w:space="0" w:color="auto"/>
                    <w:bottom w:val="none" w:sz="0" w:space="0" w:color="auto"/>
                    <w:right w:val="none" w:sz="0" w:space="0" w:color="auto"/>
                  </w:divBdr>
                </w:div>
                <w:div w:id="766077813">
                  <w:marLeft w:val="0"/>
                  <w:marRight w:val="0"/>
                  <w:marTop w:val="400"/>
                  <w:marBottom w:val="400"/>
                  <w:divBdr>
                    <w:top w:val="none" w:sz="0" w:space="0" w:color="auto"/>
                    <w:left w:val="none" w:sz="0" w:space="0" w:color="auto"/>
                    <w:bottom w:val="none" w:sz="0" w:space="0" w:color="auto"/>
                    <w:right w:val="none" w:sz="0" w:space="0" w:color="auto"/>
                  </w:divBdr>
                </w:div>
                <w:div w:id="368410149">
                  <w:marLeft w:val="0"/>
                  <w:marRight w:val="0"/>
                  <w:marTop w:val="400"/>
                  <w:marBottom w:val="400"/>
                  <w:divBdr>
                    <w:top w:val="none" w:sz="0" w:space="0" w:color="auto"/>
                    <w:left w:val="none" w:sz="0" w:space="0" w:color="auto"/>
                    <w:bottom w:val="none" w:sz="0" w:space="0" w:color="auto"/>
                    <w:right w:val="none" w:sz="0" w:space="0" w:color="auto"/>
                  </w:divBdr>
                </w:div>
                <w:div w:id="1962221939">
                  <w:marLeft w:val="0"/>
                  <w:marRight w:val="0"/>
                  <w:marTop w:val="400"/>
                  <w:marBottom w:val="400"/>
                  <w:divBdr>
                    <w:top w:val="none" w:sz="0" w:space="0" w:color="auto"/>
                    <w:left w:val="none" w:sz="0" w:space="0" w:color="auto"/>
                    <w:bottom w:val="none" w:sz="0" w:space="0" w:color="auto"/>
                    <w:right w:val="none" w:sz="0" w:space="0" w:color="auto"/>
                  </w:divBdr>
                </w:div>
              </w:divsChild>
            </w:div>
            <w:div w:id="1879201834">
              <w:marLeft w:val="0"/>
              <w:marRight w:val="0"/>
              <w:marTop w:val="400"/>
              <w:marBottom w:val="400"/>
              <w:divBdr>
                <w:top w:val="none" w:sz="0" w:space="0" w:color="auto"/>
                <w:left w:val="none" w:sz="0" w:space="0" w:color="auto"/>
                <w:bottom w:val="none" w:sz="0" w:space="0" w:color="auto"/>
                <w:right w:val="none" w:sz="0" w:space="0" w:color="auto"/>
              </w:divBdr>
            </w:div>
          </w:divsChild>
        </w:div>
      </w:divsChild>
    </w:div>
    <w:div w:id="271325180">
      <w:bodyDiv w:val="1"/>
      <w:marLeft w:val="0"/>
      <w:marRight w:val="0"/>
      <w:marTop w:val="0"/>
      <w:marBottom w:val="0"/>
      <w:divBdr>
        <w:top w:val="none" w:sz="0" w:space="0" w:color="auto"/>
        <w:left w:val="none" w:sz="0" w:space="0" w:color="auto"/>
        <w:bottom w:val="none" w:sz="0" w:space="0" w:color="auto"/>
        <w:right w:val="none" w:sz="0" w:space="0" w:color="auto"/>
      </w:divBdr>
    </w:div>
    <w:div w:id="523830181">
      <w:marLeft w:val="0"/>
      <w:marRight w:val="0"/>
      <w:marTop w:val="0"/>
      <w:marBottom w:val="0"/>
      <w:divBdr>
        <w:top w:val="none" w:sz="0" w:space="0" w:color="auto"/>
        <w:left w:val="none" w:sz="0" w:space="0" w:color="auto"/>
        <w:bottom w:val="none" w:sz="0" w:space="0" w:color="auto"/>
        <w:right w:val="none" w:sz="0" w:space="0" w:color="auto"/>
      </w:divBdr>
    </w:div>
    <w:div w:id="710883760">
      <w:bodyDiv w:val="1"/>
      <w:marLeft w:val="0"/>
      <w:marRight w:val="0"/>
      <w:marTop w:val="0"/>
      <w:marBottom w:val="0"/>
      <w:divBdr>
        <w:top w:val="none" w:sz="0" w:space="0" w:color="auto"/>
        <w:left w:val="none" w:sz="0" w:space="0" w:color="auto"/>
        <w:bottom w:val="none" w:sz="0" w:space="0" w:color="auto"/>
        <w:right w:val="none" w:sz="0" w:space="0" w:color="auto"/>
      </w:divBdr>
    </w:div>
    <w:div w:id="1553079231">
      <w:bodyDiv w:val="1"/>
      <w:marLeft w:val="0"/>
      <w:marRight w:val="0"/>
      <w:marTop w:val="0"/>
      <w:marBottom w:val="0"/>
      <w:divBdr>
        <w:top w:val="none" w:sz="0" w:space="0" w:color="auto"/>
        <w:left w:val="none" w:sz="0" w:space="0" w:color="auto"/>
        <w:bottom w:val="none" w:sz="0" w:space="0" w:color="auto"/>
        <w:right w:val="none" w:sz="0" w:space="0" w:color="auto"/>
      </w:divBdr>
    </w:div>
    <w:div w:id="1622952640">
      <w:marLeft w:val="0"/>
      <w:marRight w:val="0"/>
      <w:marTop w:val="0"/>
      <w:marBottom w:val="0"/>
      <w:divBdr>
        <w:top w:val="none" w:sz="0" w:space="0" w:color="auto"/>
        <w:left w:val="none" w:sz="0" w:space="0" w:color="auto"/>
        <w:bottom w:val="none" w:sz="0" w:space="0" w:color="auto"/>
        <w:right w:val="none" w:sz="0" w:space="0" w:color="auto"/>
      </w:divBdr>
    </w:div>
    <w:div w:id="214338017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6</Pages>
  <Words>1764</Words>
  <Characters>10058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Wolock</dc:creator>
  <cp:keywords/>
  <dc:description/>
  <cp:lastModifiedBy>Charlie Wolock</cp:lastModifiedBy>
  <cp:revision>20</cp:revision>
  <cp:lastPrinted>2022-05-24T07:24:00Z</cp:lastPrinted>
  <dcterms:created xsi:type="dcterms:W3CDTF">2022-05-23T22:36:00Z</dcterms:created>
  <dcterms:modified xsi:type="dcterms:W3CDTF">2022-05-24T07:25:00Z</dcterms:modified>
</cp:coreProperties>
</file>