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EE52" w14:textId="77777777" w:rsidR="00984CD9" w:rsidRPr="00984CD9" w:rsidRDefault="00984CD9" w:rsidP="00407A33">
      <w:pPr>
        <w:pBdr>
          <w:bottom w:val="single" w:sz="6" w:space="0" w:color="97B0C8"/>
        </w:pBdr>
        <w:shd w:val="clear" w:color="auto" w:fill="FFFFFF"/>
        <w:spacing w:after="200" w:line="240" w:lineRule="auto"/>
        <w:contextualSpacing/>
        <w:outlineLvl w:val="1"/>
        <w:rPr>
          <w:rFonts w:ascii="Cambria" w:eastAsia="Times New Roman" w:hAnsi="Cambria" w:cs="Times New Roman"/>
          <w:color w:val="995733"/>
          <w:spacing w:val="-2"/>
          <w:sz w:val="24"/>
          <w:szCs w:val="24"/>
        </w:rPr>
      </w:pPr>
      <w:r w:rsidRPr="00984CD9">
        <w:rPr>
          <w:rFonts w:ascii="Cambria" w:eastAsia="Times New Roman" w:hAnsi="Cambria" w:cs="Times New Roman"/>
          <w:color w:val="995733"/>
          <w:spacing w:val="-2"/>
          <w:sz w:val="24"/>
          <w:szCs w:val="24"/>
        </w:rPr>
        <w:t>INTRODUCTION</w:t>
      </w:r>
    </w:p>
    <w:p w14:paraId="06A739BB" w14:textId="77777777" w:rsidR="00FB57D4" w:rsidRDefault="00FB57D4"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004E8E05" w14:textId="53307FE4" w:rsidR="00984CD9" w:rsidRPr="0067648D"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Low back pain is the second most common symptomatic reason for physician office visits, and the associated health care costs are rapidly rising. One reason for this increase is the inappropriate use of advanced imaging, particularly magnetic resonance imaging (MRI), for uncomplicated non-specific low back pain. Routine use of MRIs in low back pain cases is common, with 16 to 21% of low back pain patients in commercial health care plans and 12% of Medicare patients receiving an MRI. Clinical guidelines recommend that new episodes of non-specific low back pain not complicated by red flag conditions should be treated with conservative therapy and that MRI is not indicated in the first 6 weeks of onset. However, studies have found that 26 to 44% of spine MRIs are not guideline-concordant.</w:t>
      </w:r>
      <w:r w:rsidR="00F7290C" w:rsidRPr="0067648D">
        <w:rPr>
          <w:rFonts w:ascii="Cambria" w:eastAsia="Times New Roman" w:hAnsi="Cambria" w:cs="Times New Roman"/>
          <w:color w:val="212121"/>
          <w:sz w:val="24"/>
          <w:szCs w:val="24"/>
        </w:rPr>
        <w:t xml:space="preserve"> </w:t>
      </w:r>
    </w:p>
    <w:p w14:paraId="1A2FDDB6" w14:textId="77777777" w:rsidR="0067648D" w:rsidRPr="00984CD9" w:rsidRDefault="0067648D"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60AB06AB" w14:textId="71F191F5"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There is growing evidence that the consequences of inappropriate imaging for uncomplicated non-specific low back pain extend beyond the direct costs of an MRI. Potential downstream consequences include subsequent referrals and interventions performed as a result of imaging. Rates of lumbar spine procedures, including surgery, epidural steroid injections, and facet joint injections, are also increasing and are part of the higher costs associated with inappropriate imaging.</w:t>
      </w:r>
      <w:r w:rsidR="00F7290C" w:rsidRPr="0067648D">
        <w:rPr>
          <w:rFonts w:ascii="Cambria" w:eastAsia="Times New Roman" w:hAnsi="Cambria" w:cs="Times New Roman"/>
          <w:color w:val="212121"/>
          <w:sz w:val="24"/>
          <w:szCs w:val="24"/>
        </w:rPr>
        <w:t xml:space="preserve"> </w:t>
      </w:r>
      <w:r w:rsidRPr="00984CD9">
        <w:rPr>
          <w:rFonts w:ascii="Cambria" w:eastAsia="Times New Roman" w:hAnsi="Cambria" w:cs="Times New Roman"/>
          <w:color w:val="212121"/>
          <w:sz w:val="24"/>
          <w:szCs w:val="24"/>
        </w:rPr>
        <w:t>There is no evidence that these additional procedures lead to better outcomes, and they may even result in more harm than benefit.</w:t>
      </w:r>
      <w:r w:rsidR="00F7290C" w:rsidRPr="0067648D">
        <w:rPr>
          <w:rFonts w:ascii="Cambria" w:eastAsia="Times New Roman" w:hAnsi="Cambria" w:cs="Times New Roman"/>
          <w:color w:val="212121"/>
          <w:sz w:val="24"/>
          <w:szCs w:val="24"/>
        </w:rPr>
        <w:t xml:space="preserve"> </w:t>
      </w:r>
      <w:r w:rsidRPr="00984CD9">
        <w:rPr>
          <w:rFonts w:ascii="Cambria" w:eastAsia="Times New Roman" w:hAnsi="Cambria" w:cs="Times New Roman"/>
          <w:color w:val="212121"/>
          <w:sz w:val="24"/>
          <w:szCs w:val="24"/>
        </w:rPr>
        <w:t>The downstream effects of early MRI of the lumbar spine on procedures and opioid use remain underexplored in the literature</w:t>
      </w:r>
      <w:r w:rsidR="00FB57D4">
        <w:rPr>
          <w:rFonts w:ascii="Cambria" w:eastAsia="Times New Roman" w:hAnsi="Cambria" w:cs="Times New Roman"/>
          <w:color w:val="212121"/>
          <w:sz w:val="24"/>
          <w:szCs w:val="24"/>
        </w:rPr>
        <w:t xml:space="preserve">. </w:t>
      </w:r>
    </w:p>
    <w:p w14:paraId="349B2202"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544FCBF9" w14:textId="77777777" w:rsidR="00984CD9" w:rsidRPr="00984CD9" w:rsidRDefault="00984CD9" w:rsidP="00407A33">
      <w:pPr>
        <w:pBdr>
          <w:bottom w:val="single" w:sz="6" w:space="0" w:color="97B0C8"/>
        </w:pBdr>
        <w:shd w:val="clear" w:color="auto" w:fill="FFFFFF"/>
        <w:spacing w:before="400" w:after="200" w:line="240" w:lineRule="auto"/>
        <w:contextualSpacing/>
        <w:outlineLvl w:val="1"/>
        <w:rPr>
          <w:rFonts w:ascii="Cambria" w:eastAsia="Times New Roman" w:hAnsi="Cambria" w:cs="Times New Roman"/>
          <w:color w:val="995733"/>
          <w:spacing w:val="-2"/>
          <w:sz w:val="24"/>
          <w:szCs w:val="24"/>
        </w:rPr>
      </w:pPr>
      <w:r w:rsidRPr="00984CD9">
        <w:rPr>
          <w:rFonts w:ascii="Cambria" w:eastAsia="Times New Roman" w:hAnsi="Cambria" w:cs="Times New Roman"/>
          <w:color w:val="995733"/>
          <w:spacing w:val="-2"/>
          <w:sz w:val="24"/>
          <w:szCs w:val="24"/>
        </w:rPr>
        <w:t>METHODS</w:t>
      </w:r>
    </w:p>
    <w:p w14:paraId="373AA0C9" w14:textId="77777777" w:rsidR="00FB57D4" w:rsidRDefault="00FB57D4"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1450F224" w14:textId="35C0C1ED" w:rsidR="00984CD9" w:rsidRPr="0067648D"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 xml:space="preserve">We conducted a retrospective cohort study of new episodes of uncomplicated non-specific low back pain. We used data from the U.S. Department of Veterans Affairs (VA) Corporate Data Warehouse, a national repository of extracts of electronic health records. </w:t>
      </w:r>
    </w:p>
    <w:p w14:paraId="12E8B538" w14:textId="77777777" w:rsidR="0067648D" w:rsidRPr="00984CD9" w:rsidRDefault="0067648D"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00660B06" w14:textId="77777777" w:rsidR="00984CD9" w:rsidRPr="00984CD9" w:rsidRDefault="00984CD9" w:rsidP="00407A33">
      <w:pPr>
        <w:shd w:val="clear" w:color="auto" w:fill="FFFFFF"/>
        <w:spacing w:after="200" w:line="240" w:lineRule="auto"/>
        <w:contextualSpacing/>
        <w:outlineLvl w:val="2"/>
        <w:rPr>
          <w:rFonts w:ascii="Cambria" w:eastAsia="Times New Roman" w:hAnsi="Cambria" w:cs="Times New Roman"/>
          <w:color w:val="734126"/>
          <w:spacing w:val="-2"/>
          <w:sz w:val="24"/>
          <w:szCs w:val="24"/>
        </w:rPr>
      </w:pPr>
      <w:r w:rsidRPr="00984CD9">
        <w:rPr>
          <w:rFonts w:ascii="Cambria" w:eastAsia="Times New Roman" w:hAnsi="Cambria" w:cs="Times New Roman"/>
          <w:color w:val="734126"/>
          <w:spacing w:val="-2"/>
          <w:sz w:val="24"/>
          <w:szCs w:val="24"/>
        </w:rPr>
        <w:t>Cohort</w:t>
      </w:r>
    </w:p>
    <w:p w14:paraId="65C1A4A4" w14:textId="3D2594AB" w:rsidR="00984CD9" w:rsidRPr="00984CD9"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 xml:space="preserve">Individuals were eligible for inclusion if they had a visit for uncomplicated low back pain in a VA primary care clinic between June 1, 2015, and June 30, 2016. Uncomplicated low back pain visits were characterized with a diagnosis of non-specific pain of the lower back: lumbar sprain, strain, spondylosis, or disk degeneration. </w:t>
      </w:r>
    </w:p>
    <w:p w14:paraId="59B345E0" w14:textId="77777777" w:rsidR="007E11DF" w:rsidRDefault="007E11DF"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1A5F96B9" w14:textId="65C535F1" w:rsidR="00F7290C" w:rsidRPr="0067648D"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Visits were excluded if there was a “red flag” condition, as defined by the Medicare performance measure for appropriateness of lumbar spine MRI (LS-MRI), present in VA hospital and outpatient data. These conditions included trauma in the prior 45 days; lumbar spine surgery in the past 90 days; cancer, neurologic impairment, infections, or injection drug use in the past year; or autoimmune, inflammatory, conditions, neoplastic abnormalities, radiation therapy, or congenital malformation in the last 5 years.</w:t>
      </w:r>
    </w:p>
    <w:p w14:paraId="4435065C" w14:textId="77777777" w:rsidR="0067648D" w:rsidRPr="0067648D" w:rsidRDefault="0067648D"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568A7E7E" w14:textId="57A61AD1" w:rsidR="00984CD9" w:rsidRPr="00984CD9"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734126"/>
          <w:spacing w:val="-2"/>
          <w:sz w:val="24"/>
          <w:szCs w:val="24"/>
        </w:rPr>
        <w:t>Early MRI Scan</w:t>
      </w:r>
    </w:p>
    <w:p w14:paraId="1A238DE7" w14:textId="4141C379"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lastRenderedPageBreak/>
        <w:t>Scans were identified using Current Procedure Terminology codes for LS-MRI (72148, 72158). Scans provided within 6 weeks of the index visit were deemed “early,” which is consistent with guidelines for treatment of low back pain.</w:t>
      </w:r>
      <w:r w:rsidR="00F7290C" w:rsidRPr="0067648D">
        <w:rPr>
          <w:rFonts w:ascii="Cambria" w:eastAsia="Times New Roman" w:hAnsi="Cambria" w:cs="Times New Roman"/>
          <w:color w:val="212121"/>
          <w:sz w:val="24"/>
          <w:szCs w:val="24"/>
        </w:rPr>
        <w:t xml:space="preserve"> </w:t>
      </w:r>
    </w:p>
    <w:p w14:paraId="12F4E0D0"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636BCCEB" w14:textId="57613599" w:rsidR="00984CD9" w:rsidRPr="0067648D" w:rsidRDefault="00984CD9" w:rsidP="00407A33">
      <w:pPr>
        <w:shd w:val="clear" w:color="auto" w:fill="FFFFFF"/>
        <w:spacing w:after="200" w:line="240" w:lineRule="auto"/>
        <w:contextualSpacing/>
        <w:outlineLvl w:val="2"/>
        <w:rPr>
          <w:rFonts w:ascii="Cambria" w:eastAsia="Times New Roman" w:hAnsi="Cambria" w:cs="Times New Roman"/>
          <w:color w:val="734126"/>
          <w:spacing w:val="-2"/>
          <w:sz w:val="24"/>
          <w:szCs w:val="24"/>
        </w:rPr>
      </w:pPr>
      <w:r w:rsidRPr="00984CD9">
        <w:rPr>
          <w:rFonts w:ascii="Cambria" w:eastAsia="Times New Roman" w:hAnsi="Cambria" w:cs="Times New Roman"/>
          <w:color w:val="734126"/>
          <w:spacing w:val="-2"/>
          <w:sz w:val="24"/>
          <w:szCs w:val="24"/>
        </w:rPr>
        <w:t>Outcome Measures</w:t>
      </w:r>
    </w:p>
    <w:p w14:paraId="47520499" w14:textId="77777777" w:rsidR="0067648D" w:rsidRPr="00984CD9" w:rsidRDefault="0067648D" w:rsidP="00407A33">
      <w:pPr>
        <w:shd w:val="clear" w:color="auto" w:fill="FFFFFF"/>
        <w:spacing w:after="200" w:line="240" w:lineRule="auto"/>
        <w:contextualSpacing/>
        <w:outlineLvl w:val="2"/>
        <w:rPr>
          <w:rFonts w:ascii="Cambria" w:eastAsia="Times New Roman" w:hAnsi="Cambria" w:cs="Times New Roman"/>
          <w:color w:val="734126"/>
          <w:spacing w:val="-2"/>
          <w:sz w:val="24"/>
          <w:szCs w:val="24"/>
        </w:rPr>
      </w:pPr>
    </w:p>
    <w:p w14:paraId="39A14364" w14:textId="77777777" w:rsidR="00984CD9" w:rsidRPr="00984CD9" w:rsidRDefault="00984CD9" w:rsidP="00407A33">
      <w:pPr>
        <w:shd w:val="clear" w:color="auto" w:fill="FFFFFF"/>
        <w:spacing w:after="0" w:line="240" w:lineRule="auto"/>
        <w:contextualSpacing/>
        <w:outlineLvl w:val="3"/>
        <w:rPr>
          <w:rFonts w:ascii="Cambria" w:eastAsia="Times New Roman" w:hAnsi="Cambria" w:cs="Times New Roman"/>
          <w:color w:val="603620"/>
          <w:spacing w:val="-2"/>
          <w:sz w:val="24"/>
          <w:szCs w:val="24"/>
        </w:rPr>
      </w:pPr>
      <w:r w:rsidRPr="00984CD9">
        <w:rPr>
          <w:rFonts w:ascii="Cambria" w:eastAsia="Times New Roman" w:hAnsi="Cambria" w:cs="Times New Roman"/>
          <w:color w:val="603620"/>
          <w:spacing w:val="-2"/>
          <w:sz w:val="24"/>
          <w:szCs w:val="24"/>
        </w:rPr>
        <w:t>Time Horizon </w:t>
      </w:r>
    </w:p>
    <w:p w14:paraId="7AA31C01" w14:textId="30874F81"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Outcomes were measured from 43 to 365 days post-index visit, and costs were also measured for the first 42 days. We excluded the 42-day post-index visit, as this was the time period used to assess whether an individual received an early MRI scan.</w:t>
      </w:r>
    </w:p>
    <w:p w14:paraId="5201CD3F"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5E7659E8" w14:textId="77777777" w:rsidR="00984CD9" w:rsidRPr="00984CD9" w:rsidRDefault="00984CD9" w:rsidP="00407A33">
      <w:pPr>
        <w:shd w:val="clear" w:color="auto" w:fill="FFFFFF"/>
        <w:spacing w:after="0" w:line="240" w:lineRule="auto"/>
        <w:contextualSpacing/>
        <w:outlineLvl w:val="3"/>
        <w:rPr>
          <w:rFonts w:ascii="Cambria" w:eastAsia="Times New Roman" w:hAnsi="Cambria" w:cs="Times New Roman"/>
          <w:color w:val="603620"/>
          <w:spacing w:val="-2"/>
          <w:sz w:val="24"/>
          <w:szCs w:val="24"/>
        </w:rPr>
      </w:pPr>
      <w:r w:rsidRPr="00984CD9">
        <w:rPr>
          <w:rFonts w:ascii="Cambria" w:eastAsia="Times New Roman" w:hAnsi="Cambria" w:cs="Times New Roman"/>
          <w:color w:val="603620"/>
          <w:spacing w:val="-2"/>
          <w:sz w:val="24"/>
          <w:szCs w:val="24"/>
        </w:rPr>
        <w:t>Probability of Lumbar Surgery </w:t>
      </w:r>
    </w:p>
    <w:p w14:paraId="7D6409BF" w14:textId="4D4DED17"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Lumbar-related spinal surgeries included surgical procedures conducted on the lumbar, lumbosacral, and thoracolumbar regions in an inpatient or outpatient setting. Surgeries provided in the hospital were identified with procedure codes. Surgeries provided in outpatient settings were identified using CPT codes when the encounter included a diagnosis code for low back pain.</w:t>
      </w:r>
    </w:p>
    <w:p w14:paraId="6D25BB0C"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01D6D6E2" w14:textId="77777777" w:rsidR="00984CD9" w:rsidRPr="00984CD9" w:rsidRDefault="00984CD9" w:rsidP="00407A33">
      <w:pPr>
        <w:shd w:val="clear" w:color="auto" w:fill="FFFFFF"/>
        <w:spacing w:after="0" w:line="240" w:lineRule="auto"/>
        <w:contextualSpacing/>
        <w:outlineLvl w:val="3"/>
        <w:rPr>
          <w:rFonts w:ascii="Cambria" w:eastAsia="Times New Roman" w:hAnsi="Cambria" w:cs="Times New Roman"/>
          <w:color w:val="603620"/>
          <w:spacing w:val="-2"/>
          <w:sz w:val="24"/>
          <w:szCs w:val="24"/>
        </w:rPr>
      </w:pPr>
      <w:r w:rsidRPr="00984CD9">
        <w:rPr>
          <w:rFonts w:ascii="Cambria" w:eastAsia="Times New Roman" w:hAnsi="Cambria" w:cs="Times New Roman"/>
          <w:color w:val="603620"/>
          <w:spacing w:val="-2"/>
          <w:sz w:val="24"/>
          <w:szCs w:val="24"/>
        </w:rPr>
        <w:t>Opioid Use </w:t>
      </w:r>
    </w:p>
    <w:p w14:paraId="29FE3E32" w14:textId="5B85BCC2" w:rsidR="00984CD9" w:rsidRPr="0067648D" w:rsidRDefault="00984CD9" w:rsidP="00407A33">
      <w:pPr>
        <w:shd w:val="clear" w:color="auto" w:fill="FFFFFF"/>
        <w:spacing w:before="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Opioid prescriptions were defined as long-acting opioids, short-acting opioids, and tramadol, with doses converted to morphine equivalents using Centers for Disease Control conversion factors.</w:t>
      </w:r>
      <w:r w:rsidR="0067648D" w:rsidRPr="0067648D">
        <w:rPr>
          <w:rFonts w:ascii="Cambria" w:eastAsia="Times New Roman" w:hAnsi="Cambria" w:cs="Times New Roman"/>
          <w:color w:val="212121"/>
          <w:sz w:val="24"/>
          <w:szCs w:val="24"/>
        </w:rPr>
        <w:t xml:space="preserve"> </w:t>
      </w:r>
    </w:p>
    <w:p w14:paraId="66CD5F30" w14:textId="77777777" w:rsidR="0067648D" w:rsidRPr="00984CD9" w:rsidRDefault="0067648D" w:rsidP="00407A33">
      <w:pPr>
        <w:shd w:val="clear" w:color="auto" w:fill="FFFFFF"/>
        <w:spacing w:before="400" w:line="240" w:lineRule="auto"/>
        <w:contextualSpacing/>
        <w:rPr>
          <w:rFonts w:ascii="Cambria" w:eastAsia="Times New Roman" w:hAnsi="Cambria" w:cs="Times New Roman"/>
          <w:color w:val="212121"/>
          <w:sz w:val="24"/>
          <w:szCs w:val="24"/>
        </w:rPr>
      </w:pPr>
    </w:p>
    <w:p w14:paraId="02ABDCFB" w14:textId="77777777" w:rsidR="00984CD9" w:rsidRPr="00984CD9" w:rsidRDefault="00984CD9" w:rsidP="00407A33">
      <w:pPr>
        <w:shd w:val="clear" w:color="auto" w:fill="FFFFFF"/>
        <w:spacing w:after="200" w:line="240" w:lineRule="auto"/>
        <w:contextualSpacing/>
        <w:outlineLvl w:val="2"/>
        <w:rPr>
          <w:rFonts w:ascii="Cambria" w:eastAsia="Times New Roman" w:hAnsi="Cambria" w:cs="Times New Roman"/>
          <w:color w:val="734126"/>
          <w:spacing w:val="-2"/>
          <w:sz w:val="24"/>
          <w:szCs w:val="24"/>
        </w:rPr>
      </w:pPr>
      <w:r w:rsidRPr="00984CD9">
        <w:rPr>
          <w:rFonts w:ascii="Cambria" w:eastAsia="Times New Roman" w:hAnsi="Cambria" w:cs="Times New Roman"/>
          <w:color w:val="734126"/>
          <w:spacing w:val="-2"/>
          <w:sz w:val="24"/>
          <w:szCs w:val="24"/>
        </w:rPr>
        <w:t>Statistical Analyses</w:t>
      </w:r>
    </w:p>
    <w:p w14:paraId="16493026" w14:textId="154DF28A" w:rsidR="00984CD9"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 xml:space="preserve">Baseline characteristics of patients with early MRI were compared with those of patients without early MRI by calculating the standardized difference of the means using pooled variance. </w:t>
      </w:r>
    </w:p>
    <w:p w14:paraId="6A5E55F2" w14:textId="77777777" w:rsidR="00330A87" w:rsidRPr="00984CD9" w:rsidRDefault="00330A87" w:rsidP="00407A33">
      <w:pPr>
        <w:shd w:val="clear" w:color="auto" w:fill="FFFFFF"/>
        <w:spacing w:before="400" w:after="400" w:line="240" w:lineRule="auto"/>
        <w:contextualSpacing/>
        <w:rPr>
          <w:rFonts w:ascii="Cambria" w:eastAsia="Times New Roman" w:hAnsi="Cambria" w:cs="Times New Roman"/>
          <w:color w:val="212121"/>
          <w:sz w:val="24"/>
          <w:szCs w:val="24"/>
        </w:rPr>
      </w:pPr>
    </w:p>
    <w:p w14:paraId="10C8E6AB" w14:textId="5850537B" w:rsidR="00984CD9" w:rsidRPr="0067648D" w:rsidRDefault="00984CD9" w:rsidP="00407A33">
      <w:pPr>
        <w:shd w:val="clear" w:color="auto" w:fill="FFFFFF"/>
        <w:spacing w:before="400" w:after="400" w:line="240" w:lineRule="auto"/>
        <w:contextualSpacing/>
        <w:rPr>
          <w:rFonts w:ascii="Cambria" w:eastAsia="Times New Roman" w:hAnsi="Cambria" w:cs="Times New Roman"/>
          <w:color w:val="212121"/>
          <w:sz w:val="24"/>
          <w:szCs w:val="24"/>
        </w:rPr>
      </w:pPr>
      <w:r w:rsidRPr="00984CD9">
        <w:rPr>
          <w:rFonts w:ascii="Cambria" w:eastAsia="Times New Roman" w:hAnsi="Cambria" w:cs="Times New Roman"/>
          <w:color w:val="212121"/>
          <w:sz w:val="24"/>
          <w:szCs w:val="24"/>
        </w:rPr>
        <w:t>The association between early MRI and each outcome was determined by multivariable regressions controlling for baseline covariates: demographics (age and sex); primary care provider characteristics (whether the patient was assigned to a provider, whether the assigned provider was seen on the index visit, provider’s panel size, and type of clinic visited at the index visit); case-mix (pain score at the index visit, history of opioid use in the prior year, time between the index visit and the last low back pain visit,</w:t>
      </w:r>
      <w:r w:rsidR="00C31094">
        <w:rPr>
          <w:rFonts w:ascii="Cambria" w:eastAsia="Times New Roman" w:hAnsi="Cambria" w:cs="Times New Roman"/>
          <w:color w:val="212121"/>
          <w:sz w:val="24"/>
          <w:szCs w:val="24"/>
        </w:rPr>
        <w:t xml:space="preserve"> and</w:t>
      </w:r>
      <w:r w:rsidRPr="00984CD9">
        <w:rPr>
          <w:rFonts w:ascii="Cambria" w:eastAsia="Times New Roman" w:hAnsi="Cambria" w:cs="Times New Roman"/>
          <w:color w:val="212121"/>
          <w:sz w:val="24"/>
          <w:szCs w:val="24"/>
        </w:rPr>
        <w:t xml:space="preserve"> total VA costs in the prior yea</w:t>
      </w:r>
      <w:r w:rsidR="00C31094">
        <w:rPr>
          <w:rFonts w:ascii="Cambria" w:eastAsia="Times New Roman" w:hAnsi="Cambria" w:cs="Times New Roman"/>
          <w:color w:val="212121"/>
          <w:sz w:val="24"/>
          <w:szCs w:val="24"/>
        </w:rPr>
        <w:t>r</w:t>
      </w:r>
      <w:r w:rsidRPr="00984CD9">
        <w:rPr>
          <w:rFonts w:ascii="Cambria" w:eastAsia="Times New Roman" w:hAnsi="Cambria" w:cs="Times New Roman"/>
          <w:color w:val="212121"/>
          <w:sz w:val="24"/>
          <w:szCs w:val="24"/>
        </w:rPr>
        <w:t>); and indicators for chronic conditions, mental health diagnoses, and pain conditions.</w:t>
      </w:r>
      <w:r w:rsidR="00970423" w:rsidRPr="00970423">
        <w:rPr>
          <w:rFonts w:ascii="Cambria" w:hAnsi="Cambria"/>
          <w:color w:val="212121"/>
          <w:sz w:val="24"/>
          <w:szCs w:val="24"/>
          <w:shd w:val="clear" w:color="auto" w:fill="FFFFFF"/>
        </w:rPr>
        <w:t xml:space="preserve"> </w:t>
      </w:r>
      <w:r w:rsidR="00970423" w:rsidRPr="00970423">
        <w:rPr>
          <w:rFonts w:ascii="Cambria" w:hAnsi="Cambria"/>
          <w:color w:val="212121"/>
          <w:sz w:val="24"/>
          <w:szCs w:val="24"/>
          <w:shd w:val="clear" w:color="auto" w:fill="FFFFFF"/>
        </w:rPr>
        <w:t>Poisson regressions were used to estimate relative risks.</w:t>
      </w:r>
    </w:p>
    <w:p w14:paraId="1B5FC97B" w14:textId="77777777" w:rsidR="0067648D" w:rsidRPr="0067648D" w:rsidRDefault="0067648D" w:rsidP="00407A33">
      <w:pPr>
        <w:pStyle w:val="Heading2"/>
        <w:pBdr>
          <w:bottom w:val="single" w:sz="6" w:space="0" w:color="97B0C8"/>
        </w:pBdr>
        <w:shd w:val="clear" w:color="auto" w:fill="FFFFFF"/>
        <w:spacing w:before="400" w:beforeAutospacing="0" w:after="200" w:afterAutospacing="0"/>
        <w:contextualSpacing/>
        <w:rPr>
          <w:rFonts w:ascii="Cambria" w:hAnsi="Cambria"/>
          <w:b w:val="0"/>
          <w:bCs w:val="0"/>
          <w:color w:val="995733"/>
          <w:spacing w:val="-2"/>
          <w:sz w:val="24"/>
          <w:szCs w:val="24"/>
        </w:rPr>
      </w:pPr>
      <w:r w:rsidRPr="0067648D">
        <w:rPr>
          <w:rFonts w:ascii="Cambria" w:hAnsi="Cambria"/>
          <w:b w:val="0"/>
          <w:bCs w:val="0"/>
          <w:color w:val="995733"/>
          <w:spacing w:val="-2"/>
          <w:sz w:val="24"/>
          <w:szCs w:val="24"/>
        </w:rPr>
        <w:t>RESULTS</w:t>
      </w:r>
    </w:p>
    <w:p w14:paraId="61F71196" w14:textId="77777777" w:rsidR="0016170F" w:rsidRDefault="0067648D"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There were 1.17 million VA primary care visits for non-specific low back pain in the year ending June 30, 2016. Applying our exclusion criteria resulted in a cohort of 442,284 observations. Another 22,465 persons were excluded because of missing pain and clinic information from their index visit. This left 405,965 observations for study</w:t>
      </w:r>
      <w:r w:rsidR="0016170F">
        <w:rPr>
          <w:rFonts w:ascii="Cambria" w:hAnsi="Cambria"/>
          <w:color w:val="212121"/>
        </w:rPr>
        <w:t>.</w:t>
      </w:r>
    </w:p>
    <w:p w14:paraId="3A09C7DC" w14:textId="77777777" w:rsidR="0016170F" w:rsidRDefault="0016170F" w:rsidP="00407A33">
      <w:pPr>
        <w:pStyle w:val="p"/>
        <w:shd w:val="clear" w:color="auto" w:fill="FFFFFF"/>
        <w:spacing w:before="400" w:beforeAutospacing="0" w:after="400" w:afterAutospacing="0"/>
        <w:contextualSpacing/>
        <w:rPr>
          <w:rFonts w:ascii="Cambria" w:hAnsi="Cambria"/>
          <w:color w:val="212121"/>
        </w:rPr>
      </w:pPr>
    </w:p>
    <w:p w14:paraId="01D949F0" w14:textId="77777777" w:rsidR="0016170F" w:rsidRDefault="00984CD9" w:rsidP="00407A33">
      <w:pPr>
        <w:pStyle w:val="p"/>
        <w:shd w:val="clear" w:color="auto" w:fill="FFFFFF"/>
        <w:spacing w:before="400" w:beforeAutospacing="0" w:after="400" w:afterAutospacing="0"/>
        <w:contextualSpacing/>
        <w:rPr>
          <w:rFonts w:ascii="Cambria" w:hAnsi="Cambria"/>
          <w:color w:val="212121"/>
          <w:shd w:val="clear" w:color="auto" w:fill="FFFFFF"/>
        </w:rPr>
      </w:pPr>
      <w:r w:rsidRPr="0067648D">
        <w:rPr>
          <w:rFonts w:ascii="Cambria" w:hAnsi="Cambria"/>
          <w:color w:val="212121"/>
          <w:shd w:val="clear" w:color="auto" w:fill="FFFFFF"/>
        </w:rPr>
        <w:lastRenderedPageBreak/>
        <w:t>There were 9977 individuals (2.46%) who received a LS-MRI within 6 weeks of their index visit. Table </w:t>
      </w:r>
      <w:r w:rsidR="0067648D" w:rsidRPr="0067648D">
        <w:rPr>
          <w:rFonts w:ascii="Cambria" w:hAnsi="Cambria"/>
          <w:color w:val="212121"/>
          <w:shd w:val="clear" w:color="auto" w:fill="FFFFFF"/>
        </w:rPr>
        <w:t>1</w:t>
      </w:r>
      <w:r w:rsidRPr="0067648D">
        <w:rPr>
          <w:rFonts w:ascii="Cambria" w:hAnsi="Cambria"/>
          <w:color w:val="212121"/>
          <w:shd w:val="clear" w:color="auto" w:fill="FFFFFF"/>
        </w:rPr>
        <w:t xml:space="preserve"> compares patients with non-specific low back pain who received an early scan with those who did not and summarizes the standardized difference in the means for each variable of interest. Patients with an early scan were younger, were less likely to have an assigned primary care provider, were less likely to have seen their assigned primary care provider, had higher baseline pain, were less likely to have had a back pain episode in the previous 24 months, had fewer chronic conditions, and were less likely to have a diagnosis of hypertension or ischemic heart disease in the prior year. </w:t>
      </w:r>
    </w:p>
    <w:p w14:paraId="0CD6E42F" w14:textId="77777777" w:rsidR="0016170F" w:rsidRDefault="0016170F" w:rsidP="00407A33">
      <w:pPr>
        <w:pStyle w:val="p"/>
        <w:shd w:val="clear" w:color="auto" w:fill="FFFFFF"/>
        <w:spacing w:before="400" w:beforeAutospacing="0" w:after="400" w:afterAutospacing="0"/>
        <w:contextualSpacing/>
        <w:rPr>
          <w:rFonts w:ascii="Cambria" w:hAnsi="Cambria"/>
          <w:color w:val="212121"/>
          <w:shd w:val="clear" w:color="auto" w:fill="FFFFFF"/>
        </w:rPr>
      </w:pPr>
    </w:p>
    <w:p w14:paraId="59F19599" w14:textId="77777777" w:rsidR="0016170F" w:rsidRDefault="00984CD9" w:rsidP="00407A33">
      <w:pPr>
        <w:pStyle w:val="p"/>
        <w:shd w:val="clear" w:color="auto" w:fill="FFFFFF"/>
        <w:spacing w:before="400" w:beforeAutospacing="0" w:after="400" w:afterAutospacing="0"/>
        <w:contextualSpacing/>
        <w:rPr>
          <w:rFonts w:ascii="Cambria" w:hAnsi="Cambria"/>
          <w:color w:val="212121"/>
          <w:shd w:val="clear" w:color="auto" w:fill="FFFFFF"/>
        </w:rPr>
      </w:pPr>
      <w:r w:rsidRPr="0067648D">
        <w:rPr>
          <w:rFonts w:ascii="Cambria" w:hAnsi="Cambria"/>
          <w:color w:val="212121"/>
          <w:shd w:val="clear" w:color="auto" w:fill="FFFFFF"/>
        </w:rPr>
        <w:t>Table </w:t>
      </w:r>
      <w:r w:rsidR="007E11DF">
        <w:t>2</w:t>
      </w:r>
      <w:r w:rsidRPr="0067648D">
        <w:rPr>
          <w:rFonts w:ascii="Cambria" w:hAnsi="Cambria"/>
          <w:color w:val="212121"/>
          <w:shd w:val="clear" w:color="auto" w:fill="FFFFFF"/>
        </w:rPr>
        <w:t> summarizes unadjusted means and proportions of the outcome variables during the follow-up period. Compared with patients who did not receive an early scan, patients with an early MRI had more lumbar surgery (1.49% vs. 0.09%)</w:t>
      </w:r>
      <w:r w:rsidR="007E11DF">
        <w:rPr>
          <w:rFonts w:ascii="Cambria" w:hAnsi="Cambria"/>
          <w:color w:val="212121"/>
          <w:shd w:val="clear" w:color="auto" w:fill="FFFFFF"/>
        </w:rPr>
        <w:t xml:space="preserve"> and</w:t>
      </w:r>
      <w:r w:rsidRPr="0067648D">
        <w:rPr>
          <w:rFonts w:ascii="Cambria" w:hAnsi="Cambria"/>
          <w:color w:val="212121"/>
          <w:shd w:val="clear" w:color="auto" w:fill="FFFFFF"/>
        </w:rPr>
        <w:t xml:space="preserve"> were more likely to receive a prescription for opioids (36.7% vs. 28.5%)</w:t>
      </w:r>
      <w:r w:rsidR="007E11DF">
        <w:rPr>
          <w:rFonts w:ascii="Cambria" w:hAnsi="Cambria"/>
          <w:color w:val="212121"/>
          <w:shd w:val="clear" w:color="auto" w:fill="FFFFFF"/>
        </w:rPr>
        <w:t>.</w:t>
      </w:r>
    </w:p>
    <w:p w14:paraId="6E3527CC" w14:textId="77777777" w:rsidR="0016170F" w:rsidRDefault="0016170F" w:rsidP="00407A33">
      <w:pPr>
        <w:pStyle w:val="p"/>
        <w:shd w:val="clear" w:color="auto" w:fill="FFFFFF"/>
        <w:spacing w:before="400" w:beforeAutospacing="0" w:after="400" w:afterAutospacing="0"/>
        <w:contextualSpacing/>
        <w:rPr>
          <w:rFonts w:ascii="Cambria" w:hAnsi="Cambria"/>
          <w:color w:val="212121"/>
          <w:shd w:val="clear" w:color="auto" w:fill="FFFFFF"/>
        </w:rPr>
      </w:pPr>
    </w:p>
    <w:p w14:paraId="374FC678" w14:textId="2404FB9B" w:rsidR="00F7290C" w:rsidRPr="0016170F" w:rsidRDefault="00984CD9"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shd w:val="clear" w:color="auto" w:fill="FFFFFF"/>
        </w:rPr>
        <w:t>Table </w:t>
      </w:r>
      <w:r w:rsidR="007E11DF">
        <w:t>3</w:t>
      </w:r>
      <w:r w:rsidRPr="0067648D">
        <w:rPr>
          <w:rFonts w:ascii="Cambria" w:hAnsi="Cambria"/>
          <w:color w:val="212121"/>
          <w:shd w:val="clear" w:color="auto" w:fill="FFFFFF"/>
        </w:rPr>
        <w:t xml:space="preserve"> presents analyses with adjustment for baseline covariates. </w:t>
      </w:r>
      <w:r w:rsidR="007E11DF">
        <w:rPr>
          <w:rFonts w:ascii="Cambria" w:hAnsi="Cambria"/>
          <w:color w:val="212121"/>
          <w:shd w:val="clear" w:color="auto" w:fill="FFFFFF"/>
        </w:rPr>
        <w:t>C</w:t>
      </w:r>
      <w:r w:rsidRPr="0067648D">
        <w:rPr>
          <w:rFonts w:ascii="Cambria" w:hAnsi="Cambria"/>
          <w:color w:val="212121"/>
          <w:shd w:val="clear" w:color="auto" w:fill="FFFFFF"/>
        </w:rPr>
        <w:t xml:space="preserve">ovariate adjustment resulted in a small attenuation of the estimated association between early scans and outcomes. Using the </w:t>
      </w:r>
      <w:r w:rsidR="007E11DF">
        <w:rPr>
          <w:rFonts w:ascii="Cambria" w:hAnsi="Cambria"/>
          <w:color w:val="212121"/>
          <w:shd w:val="clear" w:color="auto" w:fill="FFFFFF"/>
        </w:rPr>
        <w:t>Poisson</w:t>
      </w:r>
      <w:r w:rsidRPr="0067648D">
        <w:rPr>
          <w:rFonts w:ascii="Cambria" w:hAnsi="Cambria"/>
          <w:color w:val="212121"/>
          <w:shd w:val="clear" w:color="auto" w:fill="FFFFFF"/>
        </w:rPr>
        <w:t xml:space="preserve"> model, receipt of an early scan was associated with a higher risk of lumbar surgery (adjusted relative risk 12.7 [95% CI 10.3–15.5]). </w:t>
      </w:r>
      <w:r w:rsidR="007E11DF">
        <w:rPr>
          <w:rFonts w:ascii="Cambria" w:hAnsi="Cambria"/>
          <w:color w:val="212121"/>
          <w:shd w:val="clear" w:color="auto" w:fill="FFFFFF"/>
        </w:rPr>
        <w:t xml:space="preserve">Early </w:t>
      </w:r>
      <w:r w:rsidRPr="0067648D">
        <w:rPr>
          <w:rFonts w:ascii="Cambria" w:hAnsi="Cambria"/>
          <w:color w:val="212121"/>
          <w:shd w:val="clear" w:color="auto" w:fill="FFFFFF"/>
        </w:rPr>
        <w:t xml:space="preserve">MRI was also associated with a greater likelihood of receiving a prescription for opioids (adjusted relative risk 1.23 [95% CI 1.20–1.27]). </w:t>
      </w:r>
    </w:p>
    <w:p w14:paraId="64CE1519" w14:textId="77777777" w:rsidR="0067648D" w:rsidRPr="0067648D" w:rsidRDefault="0067648D" w:rsidP="00407A33">
      <w:pPr>
        <w:pStyle w:val="Heading2"/>
        <w:pBdr>
          <w:bottom w:val="single" w:sz="6" w:space="0" w:color="97B0C8"/>
        </w:pBdr>
        <w:shd w:val="clear" w:color="auto" w:fill="FFFFFF"/>
        <w:spacing w:before="400" w:beforeAutospacing="0" w:after="200" w:afterAutospacing="0"/>
        <w:contextualSpacing/>
        <w:rPr>
          <w:rFonts w:ascii="Cambria" w:hAnsi="Cambria"/>
          <w:b w:val="0"/>
          <w:bCs w:val="0"/>
          <w:color w:val="995733"/>
          <w:spacing w:val="-2"/>
          <w:sz w:val="24"/>
          <w:szCs w:val="24"/>
        </w:rPr>
      </w:pPr>
      <w:r w:rsidRPr="0067648D">
        <w:rPr>
          <w:rFonts w:ascii="Cambria" w:hAnsi="Cambria"/>
          <w:b w:val="0"/>
          <w:bCs w:val="0"/>
          <w:color w:val="995733"/>
          <w:spacing w:val="-2"/>
          <w:sz w:val="24"/>
          <w:szCs w:val="24"/>
        </w:rPr>
        <w:t>DISCUSSION</w:t>
      </w:r>
    </w:p>
    <w:p w14:paraId="01CEC840" w14:textId="77777777" w:rsidR="0016170F" w:rsidRDefault="0067648D"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This study found that an MRI of the lumbar spine provided early in episodes of non-specific low back pain was associated with more surgery</w:t>
      </w:r>
      <w:r w:rsidR="0016170F">
        <w:rPr>
          <w:rFonts w:ascii="Cambria" w:hAnsi="Cambria"/>
          <w:color w:val="212121"/>
        </w:rPr>
        <w:t xml:space="preserve"> and </w:t>
      </w:r>
      <w:r w:rsidRPr="0067648D">
        <w:rPr>
          <w:rFonts w:ascii="Cambria" w:hAnsi="Cambria"/>
          <w:color w:val="212121"/>
        </w:rPr>
        <w:t>greater prescription opioid use. Lumbar surgery was 13 times more likely in the group with early MRI compared with that in those without an early scan (1.48% vs. 0.09%). This is consistent with other observational studies, where surgery was 5 to 20 times more likely among those receiving an early MRI. Absolute rates of surgery in this study were much lower than in these other studies, however. In those studies, lumbar surgery was provided in 14–22% of those with an early scan and in 1–3% without an early scan. These studies had approximately 10 times that rate of lumbar surgery that we observed in VA.</w:t>
      </w:r>
    </w:p>
    <w:p w14:paraId="0F62EE30" w14:textId="77777777" w:rsidR="0016170F" w:rsidRDefault="0016170F" w:rsidP="00407A33">
      <w:pPr>
        <w:pStyle w:val="p"/>
        <w:shd w:val="clear" w:color="auto" w:fill="FFFFFF"/>
        <w:spacing w:before="400" w:beforeAutospacing="0" w:after="400" w:afterAutospacing="0"/>
        <w:contextualSpacing/>
        <w:rPr>
          <w:rFonts w:ascii="Cambria" w:hAnsi="Cambria"/>
          <w:color w:val="212121"/>
        </w:rPr>
      </w:pPr>
    </w:p>
    <w:p w14:paraId="7019F24A" w14:textId="77777777" w:rsidR="0016170F" w:rsidRDefault="00F7290C"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The finding that early MRI was associated with greater use of opioids over the follow-up period appears to be a unique contribution of this study—one that is especially important given concerns over hazards resulting from over-prescription of opioids for pain. We found only one clinical trial that considered this outcome, and it found no significant association between early MRI and prescription opioid use.</w:t>
      </w:r>
      <w:r w:rsidR="0067648D" w:rsidRPr="0067648D">
        <w:rPr>
          <w:rFonts w:ascii="Cambria" w:hAnsi="Cambria"/>
          <w:color w:val="212121"/>
        </w:rPr>
        <w:t xml:space="preserve"> </w:t>
      </w:r>
      <w:r w:rsidRPr="0067648D">
        <w:rPr>
          <w:rFonts w:ascii="Cambria" w:hAnsi="Cambria"/>
          <w:color w:val="212121"/>
        </w:rPr>
        <w:t>Other studies did not consider this outcome.</w:t>
      </w:r>
    </w:p>
    <w:p w14:paraId="3E0A5459" w14:textId="77777777" w:rsidR="0016170F" w:rsidRDefault="0016170F" w:rsidP="00407A33">
      <w:pPr>
        <w:pStyle w:val="p"/>
        <w:shd w:val="clear" w:color="auto" w:fill="FFFFFF"/>
        <w:spacing w:before="400" w:beforeAutospacing="0" w:after="400" w:afterAutospacing="0"/>
        <w:contextualSpacing/>
        <w:rPr>
          <w:rFonts w:ascii="Cambria" w:hAnsi="Cambria"/>
          <w:color w:val="212121"/>
        </w:rPr>
      </w:pPr>
    </w:p>
    <w:p w14:paraId="22ABC8CD" w14:textId="77777777" w:rsidR="0016170F" w:rsidRDefault="00F7290C"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 xml:space="preserve">Early MRI was provided to 2.46% of this cohort. This is a lower rate than in other studies where the denominator was MRI scans as opposed to primary care visits for low back pain. It may also be lower than expected because VA providers are salaried and not affected by financial incentives present in fee-for-service settings. Self-referral drives some of the high use of LS-MRI in patients sponsored by Medicare, although Federal statutes on self-referral </w:t>
      </w:r>
      <w:r w:rsidRPr="0067648D">
        <w:rPr>
          <w:rFonts w:ascii="Cambria" w:hAnsi="Cambria"/>
          <w:color w:val="212121"/>
        </w:rPr>
        <w:lastRenderedPageBreak/>
        <w:t>may have reduced this practice. In addition, it is possible that VA providers are less likely to practice “defensive medicine,” as malpractice liability in the VA system is the responsibility of the Federal government.</w:t>
      </w:r>
    </w:p>
    <w:p w14:paraId="3485A7B8" w14:textId="77777777" w:rsidR="0016170F" w:rsidRDefault="0016170F" w:rsidP="00407A33">
      <w:pPr>
        <w:pStyle w:val="p"/>
        <w:shd w:val="clear" w:color="auto" w:fill="FFFFFF"/>
        <w:spacing w:before="400" w:beforeAutospacing="0" w:after="400" w:afterAutospacing="0"/>
        <w:contextualSpacing/>
        <w:rPr>
          <w:rFonts w:ascii="Cambria" w:hAnsi="Cambria"/>
          <w:color w:val="212121"/>
        </w:rPr>
      </w:pPr>
    </w:p>
    <w:p w14:paraId="405693B3" w14:textId="33433644" w:rsidR="007E11DF" w:rsidRDefault="00F7290C" w:rsidP="00407A33">
      <w:pPr>
        <w:pStyle w:val="p"/>
        <w:shd w:val="clear" w:color="auto" w:fill="FFFFFF"/>
        <w:spacing w:before="400" w:beforeAutospacing="0" w:after="400" w:afterAutospacing="0"/>
        <w:contextualSpacing/>
        <w:rPr>
          <w:rFonts w:ascii="Cambria" w:hAnsi="Cambria"/>
          <w:color w:val="212121"/>
        </w:rPr>
      </w:pPr>
      <w:r w:rsidRPr="0067648D">
        <w:rPr>
          <w:rFonts w:ascii="Cambria" w:hAnsi="Cambria"/>
          <w:color w:val="212121"/>
        </w:rPr>
        <w:t>This study used electronic health records to assemble the largest cohort used to estimate the downstream consequences of early MRI. The size of this cohort (</w:t>
      </w:r>
      <w:r w:rsidRPr="0067648D">
        <w:rPr>
          <w:rStyle w:val="Emphasis"/>
          <w:rFonts w:ascii="Cambria" w:hAnsi="Cambria"/>
          <w:color w:val="212121"/>
        </w:rPr>
        <w:t>N</w:t>
      </w:r>
      <w:r w:rsidRPr="0067648D">
        <w:rPr>
          <w:rFonts w:ascii="Cambria" w:hAnsi="Cambria"/>
          <w:color w:val="212121"/>
        </w:rPr>
        <w:t> = 405,965) was more than 10 times the size of other observational studies</w:t>
      </w:r>
      <w:r w:rsidR="0067648D" w:rsidRPr="0067648D">
        <w:rPr>
          <w:rFonts w:ascii="Cambria" w:hAnsi="Cambria"/>
          <w:color w:val="212121"/>
        </w:rPr>
        <w:t xml:space="preserve"> </w:t>
      </w:r>
      <w:r w:rsidRPr="0067648D">
        <w:rPr>
          <w:rFonts w:ascii="Cambria" w:hAnsi="Cambria"/>
          <w:color w:val="212121"/>
        </w:rPr>
        <w:t xml:space="preserve">and more than 400 times the size of clinical trials that addressed this issue. While large cohort studies have the advantage of gathering evidence from generalized, real-world experience, they must address the problem of selection bias: patients were not randomized to receive an early scan. </w:t>
      </w:r>
    </w:p>
    <w:p w14:paraId="77BCBC06" w14:textId="77777777" w:rsidR="007E11DF" w:rsidRDefault="007E11DF" w:rsidP="00407A33">
      <w:pPr>
        <w:pStyle w:val="p"/>
        <w:shd w:val="clear" w:color="auto" w:fill="FFFFFF"/>
        <w:spacing w:before="400" w:beforeAutospacing="0" w:after="400" w:afterAutospacing="0"/>
        <w:contextualSpacing/>
        <w:rPr>
          <w:rFonts w:ascii="Cambria" w:hAnsi="Cambria"/>
          <w:color w:val="212121"/>
        </w:rPr>
      </w:pPr>
    </w:p>
    <w:p w14:paraId="301C878E" w14:textId="5BF14D87" w:rsidR="0016170F" w:rsidRDefault="007E11DF" w:rsidP="00407A33">
      <w:pPr>
        <w:pStyle w:val="p"/>
        <w:shd w:val="clear" w:color="auto" w:fill="FFFFFF"/>
        <w:spacing w:before="400" w:beforeAutospacing="0" w:after="400" w:afterAutospacing="0"/>
        <w:contextualSpacing/>
        <w:rPr>
          <w:rFonts w:ascii="Cambria" w:hAnsi="Cambria"/>
          <w:color w:val="212121"/>
          <w:shd w:val="clear" w:color="auto" w:fill="FFFFFF"/>
        </w:rPr>
      </w:pPr>
      <w:r>
        <w:rPr>
          <w:rFonts w:ascii="Cambria" w:hAnsi="Cambria"/>
          <w:color w:val="212121"/>
          <w:shd w:val="clear" w:color="auto" w:fill="FFFFFF"/>
        </w:rPr>
        <w:t xml:space="preserve">We </w:t>
      </w:r>
      <w:r w:rsidR="00F7290C" w:rsidRPr="0067648D">
        <w:rPr>
          <w:rFonts w:ascii="Cambria" w:hAnsi="Cambria"/>
          <w:color w:val="212121"/>
          <w:shd w:val="clear" w:color="auto" w:fill="FFFFFF"/>
        </w:rPr>
        <w:t>rely on the untestable assumption that observable characteristics explained the exposure of interest. As such, we cannot be certain that downstream surgeries</w:t>
      </w:r>
      <w:r w:rsidR="00F2175F">
        <w:rPr>
          <w:rFonts w:ascii="Cambria" w:hAnsi="Cambria"/>
          <w:color w:val="212121"/>
          <w:shd w:val="clear" w:color="auto" w:fill="FFFFFF"/>
        </w:rPr>
        <w:t xml:space="preserve"> </w:t>
      </w:r>
      <w:r w:rsidR="00F7290C" w:rsidRPr="0067648D">
        <w:rPr>
          <w:rFonts w:ascii="Cambria" w:hAnsi="Cambria"/>
          <w:color w:val="212121"/>
          <w:shd w:val="clear" w:color="auto" w:fill="FFFFFF"/>
        </w:rPr>
        <w:t xml:space="preserve">and opioid use directly resulted from early MRIs. Our measures of the potential benefit of early MRI were limited. </w:t>
      </w:r>
    </w:p>
    <w:p w14:paraId="1391A4C5" w14:textId="77777777" w:rsidR="0016170F" w:rsidRDefault="0016170F" w:rsidP="00407A33">
      <w:pPr>
        <w:pStyle w:val="p"/>
        <w:shd w:val="clear" w:color="auto" w:fill="FFFFFF"/>
        <w:spacing w:before="400" w:beforeAutospacing="0" w:after="400" w:afterAutospacing="0"/>
        <w:contextualSpacing/>
        <w:rPr>
          <w:rFonts w:ascii="Cambria" w:hAnsi="Cambria"/>
          <w:color w:val="212121"/>
          <w:shd w:val="clear" w:color="auto" w:fill="FFFFFF"/>
        </w:rPr>
      </w:pPr>
    </w:p>
    <w:p w14:paraId="375F0980" w14:textId="2E737DD8" w:rsidR="00F7290C" w:rsidRDefault="00F7290C" w:rsidP="00407A33">
      <w:pPr>
        <w:pStyle w:val="p"/>
        <w:shd w:val="clear" w:color="auto" w:fill="FFFFFF"/>
        <w:spacing w:before="400" w:beforeAutospacing="0" w:after="400" w:afterAutospacing="0"/>
        <w:contextualSpacing/>
        <w:rPr>
          <w:rFonts w:ascii="Cambria" w:hAnsi="Cambria"/>
          <w:color w:val="212121"/>
          <w:shd w:val="clear" w:color="auto" w:fill="FFFFFF"/>
        </w:rPr>
      </w:pPr>
      <w:r w:rsidRPr="0067648D">
        <w:rPr>
          <w:rFonts w:ascii="Cambria" w:hAnsi="Cambria"/>
          <w:color w:val="212121"/>
          <w:shd w:val="clear" w:color="auto" w:fill="FFFFFF"/>
        </w:rPr>
        <w:t>This study confirms that early LS-MRI is associated with increased surgery. It expands upon prior studies by finding that early MRI is associated with</w:t>
      </w:r>
      <w:r w:rsidR="0016170F">
        <w:rPr>
          <w:rFonts w:ascii="Cambria" w:hAnsi="Cambria"/>
          <w:color w:val="212121"/>
          <w:shd w:val="clear" w:color="auto" w:fill="FFFFFF"/>
        </w:rPr>
        <w:t xml:space="preserve"> </w:t>
      </w:r>
      <w:r w:rsidRPr="0067648D">
        <w:rPr>
          <w:rFonts w:ascii="Cambria" w:hAnsi="Cambria"/>
          <w:color w:val="212121"/>
          <w:shd w:val="clear" w:color="auto" w:fill="FFFFFF"/>
        </w:rPr>
        <w:t>greater use of prescription opioids. An MRI provided early in episodes of uncomplicated non-specific low back pain not only is, therefore, an unnecessary expense, but also is associated with the potential harms of prescription opioids: their side effects, risk of abuse, and potential for overdose.</w:t>
      </w:r>
    </w:p>
    <w:p w14:paraId="5D92F64D" w14:textId="71B700D0" w:rsidR="00407A33" w:rsidRDefault="00407A33" w:rsidP="00407A33">
      <w:pPr>
        <w:pStyle w:val="p"/>
        <w:shd w:val="clear" w:color="auto" w:fill="FFFFFF"/>
        <w:spacing w:before="400" w:beforeAutospacing="0" w:after="400" w:afterAutospacing="0"/>
        <w:contextualSpacing/>
        <w:rPr>
          <w:rFonts w:ascii="Cambria" w:hAnsi="Cambria"/>
          <w:color w:val="212121"/>
          <w:shd w:val="clear" w:color="auto" w:fill="FFFFFF"/>
        </w:rPr>
      </w:pPr>
    </w:p>
    <w:p w14:paraId="14A7172A" w14:textId="66783241" w:rsidR="00407A33" w:rsidRPr="00407A33" w:rsidRDefault="00407A33" w:rsidP="00407A33">
      <w:pPr>
        <w:pStyle w:val="p"/>
        <w:shd w:val="clear" w:color="auto" w:fill="FFFFFF"/>
        <w:spacing w:before="400" w:beforeAutospacing="0" w:after="400" w:afterAutospacing="0"/>
        <w:contextualSpacing/>
        <w:rPr>
          <w:rFonts w:ascii="Cambria" w:hAnsi="Cambria"/>
          <w:b/>
          <w:bCs/>
          <w:color w:val="212121"/>
          <w:shd w:val="clear" w:color="auto" w:fill="FFFFFF"/>
        </w:rPr>
      </w:pPr>
      <w:r w:rsidRPr="00407A33">
        <w:rPr>
          <w:rFonts w:ascii="Cambria" w:hAnsi="Cambria"/>
          <w:b/>
          <w:bCs/>
          <w:color w:val="212121"/>
          <w:shd w:val="clear" w:color="auto" w:fill="FFFFFF"/>
        </w:rPr>
        <w:t>Table 1</w:t>
      </w:r>
    </w:p>
    <w:tbl>
      <w:tblPr>
        <w:tblW w:w="0" w:type="auto"/>
        <w:tblBorders>
          <w:top w:val="single" w:sz="8" w:space="0" w:color="000000"/>
          <w:insideH w:val="single" w:sz="4" w:space="0" w:color="auto"/>
          <w:insideV w:val="single" w:sz="4" w:space="0" w:color="auto"/>
        </w:tblBorders>
        <w:tblLook w:val="04A0" w:firstRow="1" w:lastRow="0" w:firstColumn="1" w:lastColumn="0" w:noHBand="0" w:noVBand="1"/>
      </w:tblPr>
      <w:tblGrid>
        <w:gridCol w:w="3326"/>
        <w:gridCol w:w="1675"/>
        <w:gridCol w:w="2054"/>
        <w:gridCol w:w="2305"/>
      </w:tblGrid>
      <w:tr w:rsidR="00407A33" w:rsidRPr="00407A33" w14:paraId="6E143F70" w14:textId="77777777" w:rsidTr="00407A33">
        <w:trPr>
          <w:trHeight w:val="504"/>
        </w:trPr>
        <w:tc>
          <w:tcPr>
            <w:tcW w:w="0" w:type="auto"/>
            <w:shd w:val="clear" w:color="auto" w:fill="auto"/>
            <w:hideMark/>
          </w:tcPr>
          <w:p w14:paraId="7221C61E" w14:textId="77777777" w:rsidR="00407A33" w:rsidRPr="00407A33" w:rsidRDefault="00407A33" w:rsidP="00407A33">
            <w:pPr>
              <w:spacing w:after="0" w:line="240" w:lineRule="auto"/>
              <w:contextualSpacing/>
              <w:rPr>
                <w:rFonts w:ascii="Cambria" w:eastAsia="Times New Roman" w:hAnsi="Cambria" w:cs="Calibri"/>
                <w:b/>
                <w:bCs/>
                <w:color w:val="000000"/>
                <w:sz w:val="20"/>
                <w:szCs w:val="20"/>
              </w:rPr>
            </w:pPr>
            <w:r w:rsidRPr="00407A33">
              <w:rPr>
                <w:rFonts w:ascii="Cambria" w:eastAsia="Times New Roman" w:hAnsi="Cambria" w:cs="Calibri"/>
                <w:b/>
                <w:bCs/>
                <w:color w:val="000000"/>
                <w:sz w:val="20"/>
                <w:szCs w:val="20"/>
              </w:rPr>
              <w:t>Patient characteristic</w:t>
            </w:r>
          </w:p>
        </w:tc>
        <w:tc>
          <w:tcPr>
            <w:tcW w:w="0" w:type="auto"/>
            <w:shd w:val="clear" w:color="auto" w:fill="auto"/>
            <w:hideMark/>
          </w:tcPr>
          <w:p w14:paraId="14BA5893" w14:textId="77777777" w:rsidR="00407A33" w:rsidRPr="00407A33" w:rsidRDefault="00407A33" w:rsidP="00407A33">
            <w:pPr>
              <w:spacing w:after="0" w:line="240" w:lineRule="auto"/>
              <w:contextualSpacing/>
              <w:rPr>
                <w:rFonts w:ascii="Cambria" w:eastAsia="Times New Roman" w:hAnsi="Cambria" w:cs="Calibri"/>
                <w:b/>
                <w:bCs/>
                <w:color w:val="000000"/>
                <w:sz w:val="20"/>
                <w:szCs w:val="20"/>
              </w:rPr>
            </w:pPr>
            <w:r w:rsidRPr="00407A33">
              <w:rPr>
                <w:rFonts w:ascii="Cambria" w:eastAsia="Times New Roman" w:hAnsi="Cambria" w:cs="Calibri"/>
                <w:b/>
                <w:bCs/>
                <w:color w:val="000000"/>
                <w:sz w:val="20"/>
                <w:szCs w:val="20"/>
              </w:rPr>
              <w:t>With early MRI (</w:t>
            </w:r>
            <w:r w:rsidRPr="00407A33">
              <w:rPr>
                <w:rFonts w:ascii="Cambria" w:eastAsia="Times New Roman" w:hAnsi="Cambria" w:cs="Calibri"/>
                <w:b/>
                <w:bCs/>
                <w:i/>
                <w:iCs/>
                <w:color w:val="000000"/>
                <w:sz w:val="20"/>
                <w:szCs w:val="20"/>
              </w:rPr>
              <w:t>N</w:t>
            </w:r>
            <w:r w:rsidRPr="00407A33">
              <w:rPr>
                <w:rFonts w:ascii="Cambria" w:eastAsia="Times New Roman" w:hAnsi="Cambria" w:cs="Calibri"/>
                <w:b/>
                <w:bCs/>
                <w:color w:val="000000"/>
                <w:sz w:val="20"/>
                <w:szCs w:val="20"/>
              </w:rPr>
              <w:t> = 9,977)</w:t>
            </w:r>
          </w:p>
        </w:tc>
        <w:tc>
          <w:tcPr>
            <w:tcW w:w="0" w:type="auto"/>
            <w:shd w:val="clear" w:color="auto" w:fill="auto"/>
            <w:hideMark/>
          </w:tcPr>
          <w:p w14:paraId="4BE4B3A1" w14:textId="77777777" w:rsidR="00407A33" w:rsidRPr="00407A33" w:rsidRDefault="00407A33" w:rsidP="00407A33">
            <w:pPr>
              <w:spacing w:after="0" w:line="240" w:lineRule="auto"/>
              <w:contextualSpacing/>
              <w:rPr>
                <w:rFonts w:ascii="Cambria" w:eastAsia="Times New Roman" w:hAnsi="Cambria" w:cs="Calibri"/>
                <w:b/>
                <w:bCs/>
                <w:color w:val="000000"/>
                <w:sz w:val="20"/>
                <w:szCs w:val="20"/>
              </w:rPr>
            </w:pPr>
            <w:r w:rsidRPr="00407A33">
              <w:rPr>
                <w:rFonts w:ascii="Cambria" w:eastAsia="Times New Roman" w:hAnsi="Cambria" w:cs="Calibri"/>
                <w:b/>
                <w:bCs/>
                <w:color w:val="000000"/>
                <w:sz w:val="20"/>
                <w:szCs w:val="20"/>
              </w:rPr>
              <w:t>Without early MRI (</w:t>
            </w:r>
            <w:r w:rsidRPr="00407A33">
              <w:rPr>
                <w:rFonts w:ascii="Cambria" w:eastAsia="Times New Roman" w:hAnsi="Cambria" w:cs="Calibri"/>
                <w:b/>
                <w:bCs/>
                <w:i/>
                <w:iCs/>
                <w:color w:val="000000"/>
                <w:sz w:val="20"/>
                <w:szCs w:val="20"/>
              </w:rPr>
              <w:t>N</w:t>
            </w:r>
            <w:r w:rsidRPr="00407A33">
              <w:rPr>
                <w:rFonts w:ascii="Cambria" w:eastAsia="Times New Roman" w:hAnsi="Cambria" w:cs="Calibri"/>
                <w:b/>
                <w:bCs/>
                <w:color w:val="000000"/>
                <w:sz w:val="20"/>
                <w:szCs w:val="20"/>
              </w:rPr>
              <w:t> = 395,718)</w:t>
            </w:r>
          </w:p>
        </w:tc>
        <w:tc>
          <w:tcPr>
            <w:tcW w:w="0" w:type="auto"/>
            <w:shd w:val="clear" w:color="auto" w:fill="auto"/>
            <w:hideMark/>
          </w:tcPr>
          <w:p w14:paraId="1FCBF21F" w14:textId="77777777" w:rsidR="00407A33" w:rsidRPr="00407A33" w:rsidRDefault="00407A33" w:rsidP="00407A33">
            <w:pPr>
              <w:spacing w:after="0" w:line="240" w:lineRule="auto"/>
              <w:contextualSpacing/>
              <w:rPr>
                <w:rFonts w:ascii="Cambria" w:eastAsia="Times New Roman" w:hAnsi="Cambria" w:cs="Calibri"/>
                <w:b/>
                <w:bCs/>
                <w:color w:val="000000"/>
                <w:sz w:val="20"/>
                <w:szCs w:val="20"/>
              </w:rPr>
            </w:pPr>
            <w:r w:rsidRPr="00407A33">
              <w:rPr>
                <w:rFonts w:ascii="Cambria" w:eastAsia="Times New Roman" w:hAnsi="Cambria" w:cs="Calibri"/>
                <w:b/>
                <w:bCs/>
                <w:color w:val="000000"/>
                <w:sz w:val="20"/>
                <w:szCs w:val="20"/>
              </w:rPr>
              <w:t>Standardized difference in means</w:t>
            </w:r>
          </w:p>
        </w:tc>
      </w:tr>
      <w:tr w:rsidR="00407A33" w:rsidRPr="00407A33" w14:paraId="159BAA81" w14:textId="77777777" w:rsidTr="00407A33">
        <w:trPr>
          <w:trHeight w:val="332"/>
        </w:trPr>
        <w:tc>
          <w:tcPr>
            <w:tcW w:w="0" w:type="auto"/>
            <w:shd w:val="clear" w:color="auto" w:fill="auto"/>
            <w:hideMark/>
          </w:tcPr>
          <w:p w14:paraId="19D2A40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Patient age (mean, in years)</w:t>
            </w:r>
          </w:p>
        </w:tc>
        <w:tc>
          <w:tcPr>
            <w:tcW w:w="0" w:type="auto"/>
            <w:shd w:val="clear" w:color="auto" w:fill="auto"/>
            <w:hideMark/>
          </w:tcPr>
          <w:p w14:paraId="40EB493B"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52.2</w:t>
            </w:r>
          </w:p>
        </w:tc>
        <w:tc>
          <w:tcPr>
            <w:tcW w:w="0" w:type="auto"/>
            <w:shd w:val="clear" w:color="auto" w:fill="auto"/>
            <w:hideMark/>
          </w:tcPr>
          <w:p w14:paraId="1D65281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56.5</w:t>
            </w:r>
          </w:p>
        </w:tc>
        <w:tc>
          <w:tcPr>
            <w:tcW w:w="0" w:type="auto"/>
            <w:shd w:val="clear" w:color="auto" w:fill="auto"/>
            <w:hideMark/>
          </w:tcPr>
          <w:p w14:paraId="4CC0A58B"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− 0.277</w:t>
            </w:r>
          </w:p>
        </w:tc>
      </w:tr>
      <w:tr w:rsidR="00407A33" w:rsidRPr="00407A33" w14:paraId="6D6D708D" w14:textId="77777777" w:rsidTr="00407A33">
        <w:trPr>
          <w:trHeight w:val="288"/>
        </w:trPr>
        <w:tc>
          <w:tcPr>
            <w:tcW w:w="0" w:type="auto"/>
            <w:shd w:val="clear" w:color="auto" w:fill="auto"/>
            <w:hideMark/>
          </w:tcPr>
          <w:p w14:paraId="0FE8C4A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&lt; 40 years (%)</w:t>
            </w:r>
          </w:p>
        </w:tc>
        <w:tc>
          <w:tcPr>
            <w:tcW w:w="0" w:type="auto"/>
            <w:shd w:val="clear" w:color="auto" w:fill="auto"/>
            <w:hideMark/>
          </w:tcPr>
          <w:p w14:paraId="6FCCC71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24.9</w:t>
            </w:r>
          </w:p>
        </w:tc>
        <w:tc>
          <w:tcPr>
            <w:tcW w:w="0" w:type="auto"/>
            <w:shd w:val="clear" w:color="auto" w:fill="auto"/>
            <w:hideMark/>
          </w:tcPr>
          <w:p w14:paraId="1DFF367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18.4</w:t>
            </w:r>
          </w:p>
        </w:tc>
        <w:tc>
          <w:tcPr>
            <w:tcW w:w="0" w:type="auto"/>
            <w:shd w:val="clear" w:color="auto" w:fill="auto"/>
            <w:hideMark/>
          </w:tcPr>
          <w:p w14:paraId="62DA57F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0.159</w:t>
            </w:r>
          </w:p>
        </w:tc>
      </w:tr>
      <w:tr w:rsidR="00407A33" w:rsidRPr="00407A33" w14:paraId="560A2562" w14:textId="77777777" w:rsidTr="00407A33">
        <w:trPr>
          <w:trHeight w:val="288"/>
        </w:trPr>
        <w:tc>
          <w:tcPr>
            <w:tcW w:w="0" w:type="auto"/>
            <w:shd w:val="clear" w:color="auto" w:fill="auto"/>
            <w:hideMark/>
          </w:tcPr>
          <w:p w14:paraId="1A83B88D"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40–50 years (%)</w:t>
            </w:r>
          </w:p>
        </w:tc>
        <w:tc>
          <w:tcPr>
            <w:tcW w:w="0" w:type="auto"/>
            <w:shd w:val="clear" w:color="auto" w:fill="auto"/>
            <w:hideMark/>
          </w:tcPr>
          <w:p w14:paraId="4A4BBF4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19</w:t>
            </w:r>
          </w:p>
        </w:tc>
        <w:tc>
          <w:tcPr>
            <w:tcW w:w="0" w:type="auto"/>
            <w:shd w:val="clear" w:color="auto" w:fill="auto"/>
            <w:hideMark/>
          </w:tcPr>
          <w:p w14:paraId="56F600A0"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15.3</w:t>
            </w:r>
          </w:p>
        </w:tc>
        <w:tc>
          <w:tcPr>
            <w:tcW w:w="0" w:type="auto"/>
            <w:shd w:val="clear" w:color="auto" w:fill="auto"/>
            <w:hideMark/>
          </w:tcPr>
          <w:p w14:paraId="3682E14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0.098</w:t>
            </w:r>
          </w:p>
        </w:tc>
      </w:tr>
      <w:tr w:rsidR="00407A33" w:rsidRPr="00407A33" w14:paraId="529306DD" w14:textId="77777777" w:rsidTr="00407A33">
        <w:trPr>
          <w:trHeight w:val="288"/>
        </w:trPr>
        <w:tc>
          <w:tcPr>
            <w:tcW w:w="0" w:type="auto"/>
            <w:shd w:val="clear" w:color="auto" w:fill="auto"/>
            <w:hideMark/>
          </w:tcPr>
          <w:p w14:paraId="5E48F55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51–60 years (%)</w:t>
            </w:r>
          </w:p>
        </w:tc>
        <w:tc>
          <w:tcPr>
            <w:tcW w:w="0" w:type="auto"/>
            <w:shd w:val="clear" w:color="auto" w:fill="auto"/>
            <w:hideMark/>
          </w:tcPr>
          <w:p w14:paraId="2FF91B8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21.2</w:t>
            </w:r>
          </w:p>
        </w:tc>
        <w:tc>
          <w:tcPr>
            <w:tcW w:w="0" w:type="auto"/>
            <w:shd w:val="clear" w:color="auto" w:fill="auto"/>
            <w:hideMark/>
          </w:tcPr>
          <w:p w14:paraId="02A17C0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20.4</w:t>
            </w:r>
          </w:p>
        </w:tc>
        <w:tc>
          <w:tcPr>
            <w:tcW w:w="0" w:type="auto"/>
            <w:shd w:val="clear" w:color="auto" w:fill="auto"/>
            <w:hideMark/>
          </w:tcPr>
          <w:p w14:paraId="08201A0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0.019</w:t>
            </w:r>
          </w:p>
        </w:tc>
      </w:tr>
      <w:tr w:rsidR="00407A33" w:rsidRPr="00407A33" w14:paraId="677DF2CE" w14:textId="77777777" w:rsidTr="00407A33">
        <w:trPr>
          <w:trHeight w:val="288"/>
        </w:trPr>
        <w:tc>
          <w:tcPr>
            <w:tcW w:w="0" w:type="auto"/>
            <w:shd w:val="clear" w:color="auto" w:fill="auto"/>
            <w:hideMark/>
          </w:tcPr>
          <w:p w14:paraId="6D7B1CF9"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61–70 years (%)</w:t>
            </w:r>
          </w:p>
        </w:tc>
        <w:tc>
          <w:tcPr>
            <w:tcW w:w="0" w:type="auto"/>
            <w:shd w:val="clear" w:color="auto" w:fill="auto"/>
            <w:hideMark/>
          </w:tcPr>
          <w:p w14:paraId="27135F11"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25.7</w:t>
            </w:r>
          </w:p>
        </w:tc>
        <w:tc>
          <w:tcPr>
            <w:tcW w:w="0" w:type="auto"/>
            <w:shd w:val="clear" w:color="auto" w:fill="auto"/>
            <w:hideMark/>
          </w:tcPr>
          <w:p w14:paraId="2D32C42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29.4</w:t>
            </w:r>
          </w:p>
        </w:tc>
        <w:tc>
          <w:tcPr>
            <w:tcW w:w="0" w:type="auto"/>
            <w:shd w:val="clear" w:color="auto" w:fill="auto"/>
            <w:hideMark/>
          </w:tcPr>
          <w:p w14:paraId="0F9BCFC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− 0.084</w:t>
            </w:r>
          </w:p>
        </w:tc>
      </w:tr>
      <w:tr w:rsidR="00407A33" w:rsidRPr="00407A33" w14:paraId="28E53092" w14:textId="77777777" w:rsidTr="00407A33">
        <w:trPr>
          <w:trHeight w:val="288"/>
        </w:trPr>
        <w:tc>
          <w:tcPr>
            <w:tcW w:w="0" w:type="auto"/>
            <w:shd w:val="clear" w:color="auto" w:fill="auto"/>
            <w:hideMark/>
          </w:tcPr>
          <w:p w14:paraId="65D8C4EA"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71+ years (%)</w:t>
            </w:r>
          </w:p>
        </w:tc>
        <w:tc>
          <w:tcPr>
            <w:tcW w:w="0" w:type="auto"/>
            <w:shd w:val="clear" w:color="auto" w:fill="auto"/>
            <w:hideMark/>
          </w:tcPr>
          <w:p w14:paraId="48073D6B"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9.2</w:t>
            </w:r>
          </w:p>
        </w:tc>
        <w:tc>
          <w:tcPr>
            <w:tcW w:w="0" w:type="auto"/>
            <w:shd w:val="clear" w:color="auto" w:fill="auto"/>
            <w:hideMark/>
          </w:tcPr>
          <w:p w14:paraId="58CC07B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16.4</w:t>
            </w:r>
          </w:p>
        </w:tc>
        <w:tc>
          <w:tcPr>
            <w:tcW w:w="0" w:type="auto"/>
            <w:shd w:val="clear" w:color="auto" w:fill="auto"/>
            <w:hideMark/>
          </w:tcPr>
          <w:p w14:paraId="2651BDA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− 0.218</w:t>
            </w:r>
          </w:p>
        </w:tc>
      </w:tr>
      <w:tr w:rsidR="00407A33" w:rsidRPr="00407A33" w14:paraId="6D985431" w14:textId="77777777" w:rsidTr="00407A33">
        <w:trPr>
          <w:trHeight w:val="305"/>
        </w:trPr>
        <w:tc>
          <w:tcPr>
            <w:tcW w:w="0" w:type="auto"/>
            <w:shd w:val="clear" w:color="auto" w:fill="auto"/>
            <w:hideMark/>
          </w:tcPr>
          <w:p w14:paraId="7B850B6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Female gender (%)</w:t>
            </w:r>
          </w:p>
        </w:tc>
        <w:tc>
          <w:tcPr>
            <w:tcW w:w="0" w:type="auto"/>
            <w:shd w:val="clear" w:color="auto" w:fill="auto"/>
            <w:hideMark/>
          </w:tcPr>
          <w:p w14:paraId="3A1381B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7.1</w:t>
            </w:r>
          </w:p>
        </w:tc>
        <w:tc>
          <w:tcPr>
            <w:tcW w:w="0" w:type="auto"/>
            <w:shd w:val="clear" w:color="auto" w:fill="auto"/>
            <w:hideMark/>
          </w:tcPr>
          <w:p w14:paraId="19649A9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5.5</w:t>
            </w:r>
          </w:p>
        </w:tc>
        <w:tc>
          <w:tcPr>
            <w:tcW w:w="0" w:type="auto"/>
            <w:shd w:val="clear" w:color="auto" w:fill="auto"/>
            <w:hideMark/>
          </w:tcPr>
          <w:p w14:paraId="438C049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0.066</w:t>
            </w:r>
          </w:p>
        </w:tc>
      </w:tr>
      <w:tr w:rsidR="00407A33" w:rsidRPr="00407A33" w14:paraId="6A88BEC9" w14:textId="77777777" w:rsidTr="00407A33">
        <w:trPr>
          <w:trHeight w:val="512"/>
        </w:trPr>
        <w:tc>
          <w:tcPr>
            <w:tcW w:w="0" w:type="auto"/>
            <w:shd w:val="clear" w:color="auto" w:fill="auto"/>
            <w:hideMark/>
          </w:tcPr>
          <w:p w14:paraId="07E2BF02"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Travel distance to nearest VA clinic (miles)</w:t>
            </w:r>
          </w:p>
        </w:tc>
        <w:tc>
          <w:tcPr>
            <w:tcW w:w="0" w:type="auto"/>
            <w:shd w:val="clear" w:color="auto" w:fill="auto"/>
            <w:hideMark/>
          </w:tcPr>
          <w:p w14:paraId="20C6761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16.5</w:t>
            </w:r>
          </w:p>
        </w:tc>
        <w:tc>
          <w:tcPr>
            <w:tcW w:w="0" w:type="auto"/>
            <w:shd w:val="clear" w:color="auto" w:fill="auto"/>
            <w:hideMark/>
          </w:tcPr>
          <w:p w14:paraId="78ACF2F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16.2</w:t>
            </w:r>
          </w:p>
        </w:tc>
        <w:tc>
          <w:tcPr>
            <w:tcW w:w="0" w:type="auto"/>
            <w:shd w:val="clear" w:color="auto" w:fill="auto"/>
            <w:hideMark/>
          </w:tcPr>
          <w:p w14:paraId="1DF2112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0.018</w:t>
            </w:r>
          </w:p>
        </w:tc>
      </w:tr>
      <w:tr w:rsidR="00407A33" w:rsidRPr="00407A33" w14:paraId="7B6F8015" w14:textId="77777777" w:rsidTr="00407A33">
        <w:trPr>
          <w:trHeight w:val="557"/>
        </w:trPr>
        <w:tc>
          <w:tcPr>
            <w:tcW w:w="0" w:type="auto"/>
            <w:shd w:val="clear" w:color="auto" w:fill="auto"/>
            <w:hideMark/>
          </w:tcPr>
          <w:p w14:paraId="1B0C1903"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Travel distance to nearest VA tertiary hospital (miles)</w:t>
            </w:r>
          </w:p>
        </w:tc>
        <w:tc>
          <w:tcPr>
            <w:tcW w:w="0" w:type="auto"/>
            <w:shd w:val="clear" w:color="auto" w:fill="auto"/>
            <w:hideMark/>
          </w:tcPr>
          <w:p w14:paraId="3A28427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101.5</w:t>
            </w:r>
          </w:p>
        </w:tc>
        <w:tc>
          <w:tcPr>
            <w:tcW w:w="0" w:type="auto"/>
            <w:shd w:val="clear" w:color="auto" w:fill="auto"/>
            <w:hideMark/>
          </w:tcPr>
          <w:p w14:paraId="358A6F7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99.3</w:t>
            </w:r>
          </w:p>
        </w:tc>
        <w:tc>
          <w:tcPr>
            <w:tcW w:w="0" w:type="auto"/>
            <w:shd w:val="clear" w:color="auto" w:fill="auto"/>
            <w:hideMark/>
          </w:tcPr>
          <w:p w14:paraId="1AE26CA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0.023</w:t>
            </w:r>
          </w:p>
        </w:tc>
      </w:tr>
      <w:tr w:rsidR="00407A33" w:rsidRPr="00407A33" w14:paraId="6AF8E21B" w14:textId="77777777" w:rsidTr="00407A33">
        <w:trPr>
          <w:trHeight w:val="602"/>
        </w:trPr>
        <w:tc>
          <w:tcPr>
            <w:tcW w:w="0" w:type="auto"/>
            <w:shd w:val="clear" w:color="auto" w:fill="auto"/>
            <w:hideMark/>
          </w:tcPr>
          <w:p w14:paraId="7F91AD05"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Travel distance to nearest VA tertiary hospital &gt; 40 miles (%)</w:t>
            </w:r>
          </w:p>
        </w:tc>
        <w:tc>
          <w:tcPr>
            <w:tcW w:w="0" w:type="auto"/>
            <w:shd w:val="clear" w:color="auto" w:fill="auto"/>
            <w:hideMark/>
          </w:tcPr>
          <w:p w14:paraId="12A7A1B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70.5</w:t>
            </w:r>
          </w:p>
        </w:tc>
        <w:tc>
          <w:tcPr>
            <w:tcW w:w="0" w:type="auto"/>
            <w:shd w:val="clear" w:color="auto" w:fill="auto"/>
            <w:hideMark/>
          </w:tcPr>
          <w:p w14:paraId="43F39790"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71.6</w:t>
            </w:r>
          </w:p>
        </w:tc>
        <w:tc>
          <w:tcPr>
            <w:tcW w:w="0" w:type="auto"/>
            <w:shd w:val="clear" w:color="auto" w:fill="auto"/>
            <w:hideMark/>
          </w:tcPr>
          <w:p w14:paraId="730A3DF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− 0.025</w:t>
            </w:r>
          </w:p>
        </w:tc>
      </w:tr>
      <w:tr w:rsidR="00407A33" w:rsidRPr="00407A33" w14:paraId="3F602D9D" w14:textId="77777777" w:rsidTr="00407A33">
        <w:trPr>
          <w:trHeight w:val="548"/>
        </w:trPr>
        <w:tc>
          <w:tcPr>
            <w:tcW w:w="0" w:type="auto"/>
            <w:shd w:val="clear" w:color="auto" w:fill="auto"/>
            <w:hideMark/>
          </w:tcPr>
          <w:p w14:paraId="690725DC"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Patient had an assigned primary care provider (%)</w:t>
            </w:r>
          </w:p>
        </w:tc>
        <w:tc>
          <w:tcPr>
            <w:tcW w:w="0" w:type="auto"/>
            <w:shd w:val="clear" w:color="auto" w:fill="auto"/>
            <w:hideMark/>
          </w:tcPr>
          <w:p w14:paraId="5244531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90.3</w:t>
            </w:r>
          </w:p>
        </w:tc>
        <w:tc>
          <w:tcPr>
            <w:tcW w:w="0" w:type="auto"/>
            <w:shd w:val="clear" w:color="auto" w:fill="auto"/>
            <w:hideMark/>
          </w:tcPr>
          <w:p w14:paraId="2234A85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93.3</w:t>
            </w:r>
          </w:p>
        </w:tc>
        <w:tc>
          <w:tcPr>
            <w:tcW w:w="0" w:type="auto"/>
            <w:shd w:val="clear" w:color="auto" w:fill="auto"/>
            <w:hideMark/>
          </w:tcPr>
          <w:p w14:paraId="592A1B2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− 0.110</w:t>
            </w:r>
          </w:p>
        </w:tc>
      </w:tr>
      <w:tr w:rsidR="00407A33" w:rsidRPr="00407A33" w14:paraId="5533F8FD" w14:textId="77777777" w:rsidTr="00407A33">
        <w:trPr>
          <w:trHeight w:val="530"/>
        </w:trPr>
        <w:tc>
          <w:tcPr>
            <w:tcW w:w="0" w:type="auto"/>
            <w:shd w:val="clear" w:color="auto" w:fill="auto"/>
            <w:hideMark/>
          </w:tcPr>
          <w:p w14:paraId="67C2AB5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Patient saw assigned primary care provider (%)</w:t>
            </w:r>
          </w:p>
        </w:tc>
        <w:tc>
          <w:tcPr>
            <w:tcW w:w="0" w:type="auto"/>
            <w:shd w:val="clear" w:color="auto" w:fill="auto"/>
            <w:hideMark/>
          </w:tcPr>
          <w:p w14:paraId="3233F12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80.2</w:t>
            </w:r>
          </w:p>
        </w:tc>
        <w:tc>
          <w:tcPr>
            <w:tcW w:w="0" w:type="auto"/>
            <w:shd w:val="clear" w:color="auto" w:fill="auto"/>
            <w:hideMark/>
          </w:tcPr>
          <w:p w14:paraId="0DB69EF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84.8</w:t>
            </w:r>
          </w:p>
        </w:tc>
        <w:tc>
          <w:tcPr>
            <w:tcW w:w="0" w:type="auto"/>
            <w:shd w:val="clear" w:color="auto" w:fill="auto"/>
            <w:hideMark/>
          </w:tcPr>
          <w:p w14:paraId="31FD15A4"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− 0.120</w:t>
            </w:r>
          </w:p>
        </w:tc>
      </w:tr>
      <w:tr w:rsidR="00407A33" w:rsidRPr="00407A33" w14:paraId="0E9F22D3" w14:textId="77777777" w:rsidTr="00407A33">
        <w:trPr>
          <w:trHeight w:val="332"/>
        </w:trPr>
        <w:tc>
          <w:tcPr>
            <w:tcW w:w="0" w:type="auto"/>
            <w:shd w:val="clear" w:color="auto" w:fill="auto"/>
            <w:hideMark/>
          </w:tcPr>
          <w:p w14:paraId="45E3D58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Index visit at satellite clinic</w:t>
            </w:r>
          </w:p>
        </w:tc>
        <w:tc>
          <w:tcPr>
            <w:tcW w:w="0" w:type="auto"/>
            <w:shd w:val="clear" w:color="auto" w:fill="auto"/>
            <w:hideMark/>
          </w:tcPr>
          <w:p w14:paraId="5083912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52.5</w:t>
            </w:r>
          </w:p>
        </w:tc>
        <w:tc>
          <w:tcPr>
            <w:tcW w:w="0" w:type="auto"/>
            <w:shd w:val="clear" w:color="auto" w:fill="auto"/>
            <w:hideMark/>
          </w:tcPr>
          <w:p w14:paraId="626481B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58.7</w:t>
            </w:r>
          </w:p>
        </w:tc>
        <w:tc>
          <w:tcPr>
            <w:tcW w:w="0" w:type="auto"/>
            <w:shd w:val="clear" w:color="auto" w:fill="auto"/>
            <w:hideMark/>
          </w:tcPr>
          <w:p w14:paraId="44D0858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− 0.125</w:t>
            </w:r>
          </w:p>
        </w:tc>
      </w:tr>
      <w:tr w:rsidR="00407A33" w:rsidRPr="00407A33" w14:paraId="79D755F7" w14:textId="77777777" w:rsidTr="00407A33">
        <w:trPr>
          <w:trHeight w:val="288"/>
        </w:trPr>
        <w:tc>
          <w:tcPr>
            <w:tcW w:w="0" w:type="auto"/>
            <w:shd w:val="clear" w:color="auto" w:fill="auto"/>
            <w:hideMark/>
          </w:tcPr>
          <w:p w14:paraId="0A07B48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lastRenderedPageBreak/>
              <w:t>Baseline pain score (numeric)</w:t>
            </w:r>
          </w:p>
        </w:tc>
        <w:tc>
          <w:tcPr>
            <w:tcW w:w="0" w:type="auto"/>
            <w:shd w:val="clear" w:color="auto" w:fill="auto"/>
            <w:hideMark/>
          </w:tcPr>
          <w:p w14:paraId="64A5312C"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p>
        </w:tc>
        <w:tc>
          <w:tcPr>
            <w:tcW w:w="0" w:type="auto"/>
            <w:shd w:val="clear" w:color="auto" w:fill="auto"/>
            <w:hideMark/>
          </w:tcPr>
          <w:p w14:paraId="305C638A" w14:textId="77777777" w:rsidR="00407A33" w:rsidRPr="00407A33" w:rsidRDefault="00407A33" w:rsidP="00407A33">
            <w:pPr>
              <w:spacing w:after="0" w:line="240" w:lineRule="auto"/>
              <w:contextualSpacing/>
              <w:rPr>
                <w:rFonts w:ascii="Times New Roman" w:eastAsia="Times New Roman" w:hAnsi="Times New Roman" w:cs="Times New Roman"/>
                <w:sz w:val="20"/>
                <w:szCs w:val="20"/>
              </w:rPr>
            </w:pPr>
          </w:p>
        </w:tc>
        <w:tc>
          <w:tcPr>
            <w:tcW w:w="0" w:type="auto"/>
            <w:shd w:val="clear" w:color="auto" w:fill="auto"/>
            <w:hideMark/>
          </w:tcPr>
          <w:p w14:paraId="636376F4" w14:textId="77777777" w:rsidR="00407A33" w:rsidRPr="00407A33" w:rsidRDefault="00407A33" w:rsidP="00407A33">
            <w:pPr>
              <w:spacing w:after="0" w:line="240" w:lineRule="auto"/>
              <w:contextualSpacing/>
              <w:rPr>
                <w:rFonts w:ascii="Times New Roman" w:eastAsia="Times New Roman" w:hAnsi="Times New Roman" w:cs="Times New Roman"/>
                <w:sz w:val="20"/>
                <w:szCs w:val="20"/>
              </w:rPr>
            </w:pPr>
          </w:p>
        </w:tc>
      </w:tr>
      <w:tr w:rsidR="00407A33" w:rsidRPr="00407A33" w14:paraId="3003CE2F" w14:textId="77777777" w:rsidTr="00407A33">
        <w:trPr>
          <w:trHeight w:val="305"/>
        </w:trPr>
        <w:tc>
          <w:tcPr>
            <w:tcW w:w="0" w:type="auto"/>
            <w:shd w:val="clear" w:color="auto" w:fill="auto"/>
            <w:hideMark/>
          </w:tcPr>
          <w:p w14:paraId="5509D113"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0 (%)</w:t>
            </w:r>
          </w:p>
        </w:tc>
        <w:tc>
          <w:tcPr>
            <w:tcW w:w="0" w:type="auto"/>
            <w:shd w:val="clear" w:color="auto" w:fill="auto"/>
            <w:hideMark/>
          </w:tcPr>
          <w:p w14:paraId="74A6B8E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12.7</w:t>
            </w:r>
          </w:p>
        </w:tc>
        <w:tc>
          <w:tcPr>
            <w:tcW w:w="0" w:type="auto"/>
            <w:shd w:val="clear" w:color="auto" w:fill="auto"/>
            <w:hideMark/>
          </w:tcPr>
          <w:p w14:paraId="3B10E23E"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31.8</w:t>
            </w:r>
          </w:p>
        </w:tc>
        <w:tc>
          <w:tcPr>
            <w:tcW w:w="0" w:type="auto"/>
            <w:shd w:val="clear" w:color="auto" w:fill="auto"/>
            <w:hideMark/>
          </w:tcPr>
          <w:p w14:paraId="11C43A7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− 0.472</w:t>
            </w:r>
          </w:p>
        </w:tc>
      </w:tr>
      <w:tr w:rsidR="00407A33" w:rsidRPr="00407A33" w14:paraId="5CC2A772" w14:textId="77777777" w:rsidTr="00407A33">
        <w:trPr>
          <w:trHeight w:val="350"/>
        </w:trPr>
        <w:tc>
          <w:tcPr>
            <w:tcW w:w="0" w:type="auto"/>
            <w:shd w:val="clear" w:color="auto" w:fill="auto"/>
            <w:hideMark/>
          </w:tcPr>
          <w:p w14:paraId="1D09AA95"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1 (%)</w:t>
            </w:r>
          </w:p>
        </w:tc>
        <w:tc>
          <w:tcPr>
            <w:tcW w:w="0" w:type="auto"/>
            <w:shd w:val="clear" w:color="auto" w:fill="auto"/>
            <w:hideMark/>
          </w:tcPr>
          <w:p w14:paraId="16E1D0E0"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1.8</w:t>
            </w:r>
          </w:p>
        </w:tc>
        <w:tc>
          <w:tcPr>
            <w:tcW w:w="0" w:type="auto"/>
            <w:shd w:val="clear" w:color="auto" w:fill="auto"/>
            <w:hideMark/>
          </w:tcPr>
          <w:p w14:paraId="7016E46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2.4</w:t>
            </w:r>
          </w:p>
        </w:tc>
        <w:tc>
          <w:tcPr>
            <w:tcW w:w="0" w:type="auto"/>
            <w:shd w:val="clear" w:color="auto" w:fill="auto"/>
            <w:hideMark/>
          </w:tcPr>
          <w:p w14:paraId="394665F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− 0.041</w:t>
            </w:r>
          </w:p>
        </w:tc>
      </w:tr>
      <w:tr w:rsidR="00407A33" w:rsidRPr="00407A33" w14:paraId="7C07EF1B" w14:textId="77777777" w:rsidTr="00407A33">
        <w:trPr>
          <w:trHeight w:val="350"/>
        </w:trPr>
        <w:tc>
          <w:tcPr>
            <w:tcW w:w="0" w:type="auto"/>
            <w:shd w:val="clear" w:color="auto" w:fill="auto"/>
            <w:hideMark/>
          </w:tcPr>
          <w:p w14:paraId="329E9DC7"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2 (%)</w:t>
            </w:r>
          </w:p>
        </w:tc>
        <w:tc>
          <w:tcPr>
            <w:tcW w:w="0" w:type="auto"/>
            <w:shd w:val="clear" w:color="auto" w:fill="auto"/>
            <w:hideMark/>
          </w:tcPr>
          <w:p w14:paraId="0A179B36"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3.6</w:t>
            </w:r>
          </w:p>
        </w:tc>
        <w:tc>
          <w:tcPr>
            <w:tcW w:w="0" w:type="auto"/>
            <w:shd w:val="clear" w:color="auto" w:fill="auto"/>
            <w:hideMark/>
          </w:tcPr>
          <w:p w14:paraId="46AA17C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4.5</w:t>
            </w:r>
          </w:p>
        </w:tc>
        <w:tc>
          <w:tcPr>
            <w:tcW w:w="0" w:type="auto"/>
            <w:shd w:val="clear" w:color="auto" w:fill="auto"/>
            <w:hideMark/>
          </w:tcPr>
          <w:p w14:paraId="065EC06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− 0.046</w:t>
            </w:r>
          </w:p>
        </w:tc>
      </w:tr>
      <w:tr w:rsidR="00407A33" w:rsidRPr="00407A33" w14:paraId="74582FF6" w14:textId="77777777" w:rsidTr="00407A33">
        <w:trPr>
          <w:trHeight w:val="350"/>
        </w:trPr>
        <w:tc>
          <w:tcPr>
            <w:tcW w:w="0" w:type="auto"/>
            <w:shd w:val="clear" w:color="auto" w:fill="auto"/>
            <w:hideMark/>
          </w:tcPr>
          <w:p w14:paraId="576CC7C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3 (%)</w:t>
            </w:r>
          </w:p>
        </w:tc>
        <w:tc>
          <w:tcPr>
            <w:tcW w:w="0" w:type="auto"/>
            <w:shd w:val="clear" w:color="auto" w:fill="auto"/>
            <w:hideMark/>
          </w:tcPr>
          <w:p w14:paraId="03392FE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8.5</w:t>
            </w:r>
          </w:p>
        </w:tc>
        <w:tc>
          <w:tcPr>
            <w:tcW w:w="0" w:type="auto"/>
            <w:shd w:val="clear" w:color="auto" w:fill="auto"/>
            <w:hideMark/>
          </w:tcPr>
          <w:p w14:paraId="43F082F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8.5</w:t>
            </w:r>
          </w:p>
        </w:tc>
        <w:tc>
          <w:tcPr>
            <w:tcW w:w="0" w:type="auto"/>
            <w:shd w:val="clear" w:color="auto" w:fill="auto"/>
            <w:hideMark/>
          </w:tcPr>
          <w:p w14:paraId="7CDE39B1"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w:t>
            </w:r>
          </w:p>
        </w:tc>
      </w:tr>
      <w:tr w:rsidR="00407A33" w:rsidRPr="00407A33" w14:paraId="7C1B194C" w14:textId="77777777" w:rsidTr="00407A33">
        <w:trPr>
          <w:trHeight w:val="332"/>
        </w:trPr>
        <w:tc>
          <w:tcPr>
            <w:tcW w:w="0" w:type="auto"/>
            <w:shd w:val="clear" w:color="auto" w:fill="auto"/>
            <w:hideMark/>
          </w:tcPr>
          <w:p w14:paraId="7634E986"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4 (%)</w:t>
            </w:r>
          </w:p>
        </w:tc>
        <w:tc>
          <w:tcPr>
            <w:tcW w:w="0" w:type="auto"/>
            <w:shd w:val="clear" w:color="auto" w:fill="auto"/>
            <w:hideMark/>
          </w:tcPr>
          <w:p w14:paraId="66EFAEF1"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9.8</w:t>
            </w:r>
          </w:p>
        </w:tc>
        <w:tc>
          <w:tcPr>
            <w:tcW w:w="0" w:type="auto"/>
            <w:shd w:val="clear" w:color="auto" w:fill="auto"/>
            <w:hideMark/>
          </w:tcPr>
          <w:p w14:paraId="141737B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8.8</w:t>
            </w:r>
          </w:p>
        </w:tc>
        <w:tc>
          <w:tcPr>
            <w:tcW w:w="0" w:type="auto"/>
            <w:shd w:val="clear" w:color="auto" w:fill="auto"/>
            <w:hideMark/>
          </w:tcPr>
          <w:p w14:paraId="59C1D52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0.035</w:t>
            </w:r>
          </w:p>
        </w:tc>
      </w:tr>
      <w:tr w:rsidR="00407A33" w:rsidRPr="00407A33" w14:paraId="59E49A67" w14:textId="77777777" w:rsidTr="00407A33">
        <w:trPr>
          <w:trHeight w:val="350"/>
        </w:trPr>
        <w:tc>
          <w:tcPr>
            <w:tcW w:w="0" w:type="auto"/>
            <w:shd w:val="clear" w:color="auto" w:fill="auto"/>
            <w:hideMark/>
          </w:tcPr>
          <w:p w14:paraId="36A67A89"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5 (%)</w:t>
            </w:r>
          </w:p>
        </w:tc>
        <w:tc>
          <w:tcPr>
            <w:tcW w:w="0" w:type="auto"/>
            <w:shd w:val="clear" w:color="auto" w:fill="auto"/>
            <w:hideMark/>
          </w:tcPr>
          <w:p w14:paraId="2BB7B26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12.3</w:t>
            </w:r>
          </w:p>
        </w:tc>
        <w:tc>
          <w:tcPr>
            <w:tcW w:w="0" w:type="auto"/>
            <w:shd w:val="clear" w:color="auto" w:fill="auto"/>
            <w:hideMark/>
          </w:tcPr>
          <w:p w14:paraId="41443B6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10.8</w:t>
            </w:r>
          </w:p>
        </w:tc>
        <w:tc>
          <w:tcPr>
            <w:tcW w:w="0" w:type="auto"/>
            <w:shd w:val="clear" w:color="auto" w:fill="auto"/>
            <w:hideMark/>
          </w:tcPr>
          <w:p w14:paraId="71A8201B"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0.049</w:t>
            </w:r>
          </w:p>
        </w:tc>
      </w:tr>
      <w:tr w:rsidR="00407A33" w:rsidRPr="00407A33" w14:paraId="3B8BFCC5" w14:textId="77777777" w:rsidTr="00407A33">
        <w:trPr>
          <w:trHeight w:val="287"/>
        </w:trPr>
        <w:tc>
          <w:tcPr>
            <w:tcW w:w="0" w:type="auto"/>
            <w:shd w:val="clear" w:color="auto" w:fill="auto"/>
            <w:hideMark/>
          </w:tcPr>
          <w:p w14:paraId="32043F28"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6 (%)</w:t>
            </w:r>
          </w:p>
        </w:tc>
        <w:tc>
          <w:tcPr>
            <w:tcW w:w="0" w:type="auto"/>
            <w:shd w:val="clear" w:color="auto" w:fill="auto"/>
            <w:hideMark/>
          </w:tcPr>
          <w:p w14:paraId="67F79DE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12.8</w:t>
            </w:r>
          </w:p>
        </w:tc>
        <w:tc>
          <w:tcPr>
            <w:tcW w:w="0" w:type="auto"/>
            <w:shd w:val="clear" w:color="auto" w:fill="auto"/>
            <w:hideMark/>
          </w:tcPr>
          <w:p w14:paraId="2172500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9.9</w:t>
            </w:r>
          </w:p>
        </w:tc>
        <w:tc>
          <w:tcPr>
            <w:tcW w:w="0" w:type="auto"/>
            <w:shd w:val="clear" w:color="auto" w:fill="auto"/>
            <w:hideMark/>
          </w:tcPr>
          <w:p w14:paraId="39743E6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0.091</w:t>
            </w:r>
          </w:p>
        </w:tc>
      </w:tr>
      <w:tr w:rsidR="00407A33" w:rsidRPr="00407A33" w14:paraId="1559FCA0" w14:textId="77777777" w:rsidTr="00407A33">
        <w:trPr>
          <w:trHeight w:val="323"/>
        </w:trPr>
        <w:tc>
          <w:tcPr>
            <w:tcW w:w="0" w:type="auto"/>
            <w:shd w:val="clear" w:color="auto" w:fill="auto"/>
            <w:hideMark/>
          </w:tcPr>
          <w:p w14:paraId="046CE03F"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7 (%)</w:t>
            </w:r>
          </w:p>
        </w:tc>
        <w:tc>
          <w:tcPr>
            <w:tcW w:w="0" w:type="auto"/>
            <w:shd w:val="clear" w:color="auto" w:fill="auto"/>
            <w:hideMark/>
          </w:tcPr>
          <w:p w14:paraId="5FE379B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13.7</w:t>
            </w:r>
          </w:p>
        </w:tc>
        <w:tc>
          <w:tcPr>
            <w:tcW w:w="0" w:type="auto"/>
            <w:shd w:val="clear" w:color="auto" w:fill="auto"/>
            <w:hideMark/>
          </w:tcPr>
          <w:p w14:paraId="34C187D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9.8</w:t>
            </w:r>
          </w:p>
        </w:tc>
        <w:tc>
          <w:tcPr>
            <w:tcW w:w="0" w:type="auto"/>
            <w:shd w:val="clear" w:color="auto" w:fill="auto"/>
            <w:hideMark/>
          </w:tcPr>
          <w:p w14:paraId="7F84666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0.121</w:t>
            </w:r>
          </w:p>
        </w:tc>
      </w:tr>
      <w:tr w:rsidR="00407A33" w:rsidRPr="00407A33" w14:paraId="04DEB25D" w14:textId="77777777" w:rsidTr="00407A33">
        <w:trPr>
          <w:trHeight w:val="260"/>
        </w:trPr>
        <w:tc>
          <w:tcPr>
            <w:tcW w:w="0" w:type="auto"/>
            <w:shd w:val="clear" w:color="auto" w:fill="auto"/>
            <w:hideMark/>
          </w:tcPr>
          <w:p w14:paraId="383D5360"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8 (%)</w:t>
            </w:r>
          </w:p>
        </w:tc>
        <w:tc>
          <w:tcPr>
            <w:tcW w:w="0" w:type="auto"/>
            <w:shd w:val="clear" w:color="auto" w:fill="auto"/>
            <w:hideMark/>
          </w:tcPr>
          <w:p w14:paraId="23B46E2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13.9</w:t>
            </w:r>
          </w:p>
        </w:tc>
        <w:tc>
          <w:tcPr>
            <w:tcW w:w="0" w:type="auto"/>
            <w:shd w:val="clear" w:color="auto" w:fill="auto"/>
            <w:hideMark/>
          </w:tcPr>
          <w:p w14:paraId="5BF1C32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8.6</w:t>
            </w:r>
          </w:p>
        </w:tc>
        <w:tc>
          <w:tcPr>
            <w:tcW w:w="0" w:type="auto"/>
            <w:shd w:val="clear" w:color="auto" w:fill="auto"/>
            <w:hideMark/>
          </w:tcPr>
          <w:p w14:paraId="64D9715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0.167</w:t>
            </w:r>
          </w:p>
        </w:tc>
      </w:tr>
      <w:tr w:rsidR="00407A33" w:rsidRPr="00407A33" w14:paraId="12F8F22D" w14:textId="77777777" w:rsidTr="00407A33">
        <w:trPr>
          <w:trHeight w:val="278"/>
        </w:trPr>
        <w:tc>
          <w:tcPr>
            <w:tcW w:w="0" w:type="auto"/>
            <w:shd w:val="clear" w:color="auto" w:fill="auto"/>
            <w:hideMark/>
          </w:tcPr>
          <w:p w14:paraId="6E6D4863"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9 (%)</w:t>
            </w:r>
          </w:p>
        </w:tc>
        <w:tc>
          <w:tcPr>
            <w:tcW w:w="0" w:type="auto"/>
            <w:shd w:val="clear" w:color="auto" w:fill="auto"/>
            <w:hideMark/>
          </w:tcPr>
          <w:p w14:paraId="717EFD6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5.6</w:t>
            </w:r>
          </w:p>
        </w:tc>
        <w:tc>
          <w:tcPr>
            <w:tcW w:w="0" w:type="auto"/>
            <w:shd w:val="clear" w:color="auto" w:fill="auto"/>
            <w:hideMark/>
          </w:tcPr>
          <w:p w14:paraId="2FCCCAA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2.7</w:t>
            </w:r>
          </w:p>
        </w:tc>
        <w:tc>
          <w:tcPr>
            <w:tcW w:w="0" w:type="auto"/>
            <w:shd w:val="clear" w:color="auto" w:fill="auto"/>
            <w:hideMark/>
          </w:tcPr>
          <w:p w14:paraId="5E8798A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0.142</w:t>
            </w:r>
          </w:p>
        </w:tc>
      </w:tr>
      <w:tr w:rsidR="00407A33" w:rsidRPr="00407A33" w14:paraId="36602C59" w14:textId="77777777" w:rsidTr="00407A33">
        <w:trPr>
          <w:trHeight w:val="305"/>
        </w:trPr>
        <w:tc>
          <w:tcPr>
            <w:tcW w:w="0" w:type="auto"/>
            <w:shd w:val="clear" w:color="auto" w:fill="auto"/>
            <w:hideMark/>
          </w:tcPr>
          <w:p w14:paraId="736F6D34"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Baseline pain score 10 (%)</w:t>
            </w:r>
          </w:p>
        </w:tc>
        <w:tc>
          <w:tcPr>
            <w:tcW w:w="0" w:type="auto"/>
            <w:shd w:val="clear" w:color="auto" w:fill="auto"/>
            <w:hideMark/>
          </w:tcPr>
          <w:p w14:paraId="14BD615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5.4</w:t>
            </w:r>
          </w:p>
        </w:tc>
        <w:tc>
          <w:tcPr>
            <w:tcW w:w="0" w:type="auto"/>
            <w:shd w:val="clear" w:color="auto" w:fill="auto"/>
            <w:hideMark/>
          </w:tcPr>
          <w:p w14:paraId="404B635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2.3</w:t>
            </w:r>
          </w:p>
        </w:tc>
        <w:tc>
          <w:tcPr>
            <w:tcW w:w="0" w:type="auto"/>
            <w:shd w:val="clear" w:color="auto" w:fill="auto"/>
            <w:hideMark/>
          </w:tcPr>
          <w:p w14:paraId="272E4D82"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0.165</w:t>
            </w:r>
          </w:p>
        </w:tc>
      </w:tr>
      <w:tr w:rsidR="00407A33" w:rsidRPr="00407A33" w14:paraId="0AA51AEC" w14:textId="77777777" w:rsidTr="00407A33">
        <w:trPr>
          <w:trHeight w:val="512"/>
        </w:trPr>
        <w:tc>
          <w:tcPr>
            <w:tcW w:w="0" w:type="auto"/>
            <w:shd w:val="clear" w:color="auto" w:fill="auto"/>
            <w:hideMark/>
          </w:tcPr>
          <w:p w14:paraId="22922E0C"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Back pain visit in prior 6–12 months (%)</w:t>
            </w:r>
          </w:p>
        </w:tc>
        <w:tc>
          <w:tcPr>
            <w:tcW w:w="0" w:type="auto"/>
            <w:shd w:val="clear" w:color="auto" w:fill="auto"/>
            <w:hideMark/>
          </w:tcPr>
          <w:p w14:paraId="5CFD426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37.6</w:t>
            </w:r>
          </w:p>
        </w:tc>
        <w:tc>
          <w:tcPr>
            <w:tcW w:w="0" w:type="auto"/>
            <w:shd w:val="clear" w:color="auto" w:fill="auto"/>
            <w:hideMark/>
          </w:tcPr>
          <w:p w14:paraId="7AEA0EA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39.4</w:t>
            </w:r>
          </w:p>
        </w:tc>
        <w:tc>
          <w:tcPr>
            <w:tcW w:w="0" w:type="auto"/>
            <w:shd w:val="clear" w:color="auto" w:fill="auto"/>
            <w:hideMark/>
          </w:tcPr>
          <w:p w14:paraId="00424D8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− 0.037</w:t>
            </w:r>
          </w:p>
        </w:tc>
      </w:tr>
      <w:tr w:rsidR="00407A33" w:rsidRPr="00407A33" w14:paraId="6337E00A" w14:textId="77777777" w:rsidTr="00407A33">
        <w:trPr>
          <w:trHeight w:val="557"/>
        </w:trPr>
        <w:tc>
          <w:tcPr>
            <w:tcW w:w="0" w:type="auto"/>
            <w:shd w:val="clear" w:color="auto" w:fill="auto"/>
            <w:hideMark/>
          </w:tcPr>
          <w:p w14:paraId="7B069245"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Back pain visit in prior 12–24 months (%)</w:t>
            </w:r>
          </w:p>
        </w:tc>
        <w:tc>
          <w:tcPr>
            <w:tcW w:w="0" w:type="auto"/>
            <w:shd w:val="clear" w:color="auto" w:fill="auto"/>
            <w:hideMark/>
          </w:tcPr>
          <w:p w14:paraId="462654A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23.4</w:t>
            </w:r>
          </w:p>
        </w:tc>
        <w:tc>
          <w:tcPr>
            <w:tcW w:w="0" w:type="auto"/>
            <w:shd w:val="clear" w:color="auto" w:fill="auto"/>
            <w:hideMark/>
          </w:tcPr>
          <w:p w14:paraId="478B1F8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26.7</w:t>
            </w:r>
          </w:p>
        </w:tc>
        <w:tc>
          <w:tcPr>
            <w:tcW w:w="0" w:type="auto"/>
            <w:shd w:val="clear" w:color="auto" w:fill="auto"/>
            <w:hideMark/>
          </w:tcPr>
          <w:p w14:paraId="3F455E1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− 0.076</w:t>
            </w:r>
          </w:p>
        </w:tc>
      </w:tr>
      <w:tr w:rsidR="00407A33" w:rsidRPr="00407A33" w14:paraId="476AF42D" w14:textId="77777777" w:rsidTr="00407A33">
        <w:trPr>
          <w:trHeight w:val="512"/>
        </w:trPr>
        <w:tc>
          <w:tcPr>
            <w:tcW w:w="0" w:type="auto"/>
            <w:shd w:val="clear" w:color="auto" w:fill="auto"/>
            <w:hideMark/>
          </w:tcPr>
          <w:p w14:paraId="719ABC3E"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No visit for back pain in last 24 months (%)</w:t>
            </w:r>
          </w:p>
        </w:tc>
        <w:tc>
          <w:tcPr>
            <w:tcW w:w="0" w:type="auto"/>
            <w:shd w:val="clear" w:color="auto" w:fill="auto"/>
            <w:hideMark/>
          </w:tcPr>
          <w:p w14:paraId="583483D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39</w:t>
            </w:r>
          </w:p>
        </w:tc>
        <w:tc>
          <w:tcPr>
            <w:tcW w:w="0" w:type="auto"/>
            <w:shd w:val="clear" w:color="auto" w:fill="auto"/>
            <w:hideMark/>
          </w:tcPr>
          <w:p w14:paraId="71B2CFE8"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33.9</w:t>
            </w:r>
          </w:p>
        </w:tc>
        <w:tc>
          <w:tcPr>
            <w:tcW w:w="0" w:type="auto"/>
            <w:shd w:val="clear" w:color="auto" w:fill="auto"/>
            <w:hideMark/>
          </w:tcPr>
          <w:p w14:paraId="73DEDA5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0.106</w:t>
            </w:r>
          </w:p>
        </w:tc>
      </w:tr>
      <w:tr w:rsidR="00407A33" w:rsidRPr="00407A33" w14:paraId="768F081A" w14:textId="77777777" w:rsidTr="00407A33">
        <w:trPr>
          <w:trHeight w:val="557"/>
        </w:trPr>
        <w:tc>
          <w:tcPr>
            <w:tcW w:w="0" w:type="auto"/>
            <w:shd w:val="clear" w:color="auto" w:fill="auto"/>
            <w:hideMark/>
          </w:tcPr>
          <w:p w14:paraId="6D264194"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Total cost in the year prior to the index visit (mean $US)</w:t>
            </w:r>
          </w:p>
        </w:tc>
        <w:tc>
          <w:tcPr>
            <w:tcW w:w="0" w:type="auto"/>
            <w:shd w:val="clear" w:color="auto" w:fill="auto"/>
            <w:hideMark/>
          </w:tcPr>
          <w:p w14:paraId="6FAEC5CC"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4482</w:t>
            </w:r>
          </w:p>
        </w:tc>
        <w:tc>
          <w:tcPr>
            <w:tcW w:w="0" w:type="auto"/>
            <w:shd w:val="clear" w:color="auto" w:fill="auto"/>
            <w:hideMark/>
          </w:tcPr>
          <w:p w14:paraId="1EE706D7"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3802</w:t>
            </w:r>
          </w:p>
        </w:tc>
        <w:tc>
          <w:tcPr>
            <w:tcW w:w="0" w:type="auto"/>
            <w:shd w:val="clear" w:color="auto" w:fill="auto"/>
            <w:hideMark/>
          </w:tcPr>
          <w:p w14:paraId="1FFE36F5"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0.084</w:t>
            </w:r>
          </w:p>
        </w:tc>
      </w:tr>
      <w:tr w:rsidR="00407A33" w:rsidRPr="00407A33" w14:paraId="41E8248C" w14:textId="77777777" w:rsidTr="00407A33">
        <w:trPr>
          <w:trHeight w:val="620"/>
        </w:trPr>
        <w:tc>
          <w:tcPr>
            <w:tcW w:w="0" w:type="auto"/>
            <w:shd w:val="clear" w:color="auto" w:fill="auto"/>
            <w:hideMark/>
          </w:tcPr>
          <w:p w14:paraId="6836C900"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History of any opioid prescription in prior year (%)</w:t>
            </w:r>
          </w:p>
        </w:tc>
        <w:tc>
          <w:tcPr>
            <w:tcW w:w="0" w:type="auto"/>
            <w:shd w:val="clear" w:color="auto" w:fill="auto"/>
            <w:hideMark/>
          </w:tcPr>
          <w:p w14:paraId="18C9F313"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19.7</w:t>
            </w:r>
          </w:p>
        </w:tc>
        <w:tc>
          <w:tcPr>
            <w:tcW w:w="0" w:type="auto"/>
            <w:shd w:val="clear" w:color="auto" w:fill="auto"/>
            <w:hideMark/>
          </w:tcPr>
          <w:p w14:paraId="167ECCD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20</w:t>
            </w:r>
          </w:p>
        </w:tc>
        <w:tc>
          <w:tcPr>
            <w:tcW w:w="0" w:type="auto"/>
            <w:shd w:val="clear" w:color="auto" w:fill="auto"/>
            <w:hideMark/>
          </w:tcPr>
          <w:p w14:paraId="1985ED2A"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− 0.006</w:t>
            </w:r>
          </w:p>
        </w:tc>
      </w:tr>
      <w:tr w:rsidR="00407A33" w:rsidRPr="00407A33" w14:paraId="1031275A" w14:textId="77777777" w:rsidTr="00407A33">
        <w:trPr>
          <w:trHeight w:val="530"/>
        </w:trPr>
        <w:tc>
          <w:tcPr>
            <w:tcW w:w="0" w:type="auto"/>
            <w:shd w:val="clear" w:color="auto" w:fill="auto"/>
            <w:hideMark/>
          </w:tcPr>
          <w:p w14:paraId="01CEE2DC"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Number of chronic health conditions in prior year (mean)</w:t>
            </w:r>
          </w:p>
        </w:tc>
        <w:tc>
          <w:tcPr>
            <w:tcW w:w="0" w:type="auto"/>
            <w:shd w:val="clear" w:color="auto" w:fill="auto"/>
            <w:hideMark/>
          </w:tcPr>
          <w:p w14:paraId="78E1B6C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1.51</w:t>
            </w:r>
          </w:p>
        </w:tc>
        <w:tc>
          <w:tcPr>
            <w:tcW w:w="0" w:type="auto"/>
            <w:shd w:val="clear" w:color="auto" w:fill="auto"/>
            <w:hideMark/>
          </w:tcPr>
          <w:p w14:paraId="062E24F4"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1.73</w:t>
            </w:r>
          </w:p>
        </w:tc>
        <w:tc>
          <w:tcPr>
            <w:tcW w:w="0" w:type="auto"/>
            <w:shd w:val="clear" w:color="auto" w:fill="auto"/>
            <w:hideMark/>
          </w:tcPr>
          <w:p w14:paraId="334C4649"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− 0.153</w:t>
            </w:r>
          </w:p>
        </w:tc>
      </w:tr>
      <w:tr w:rsidR="00407A33" w:rsidRPr="00407A33" w14:paraId="782E3E5B" w14:textId="77777777" w:rsidTr="00407A33">
        <w:trPr>
          <w:trHeight w:val="575"/>
        </w:trPr>
        <w:tc>
          <w:tcPr>
            <w:tcW w:w="0" w:type="auto"/>
            <w:shd w:val="clear" w:color="auto" w:fill="auto"/>
            <w:hideMark/>
          </w:tcPr>
          <w:p w14:paraId="48BF7073"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Mental health diagnosis in prior year (%)</w:t>
            </w:r>
          </w:p>
        </w:tc>
        <w:tc>
          <w:tcPr>
            <w:tcW w:w="0" w:type="auto"/>
            <w:shd w:val="clear" w:color="auto" w:fill="auto"/>
            <w:hideMark/>
          </w:tcPr>
          <w:p w14:paraId="7349D3ED"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42.2</w:t>
            </w:r>
          </w:p>
        </w:tc>
        <w:tc>
          <w:tcPr>
            <w:tcW w:w="0" w:type="auto"/>
            <w:shd w:val="clear" w:color="auto" w:fill="auto"/>
            <w:hideMark/>
          </w:tcPr>
          <w:p w14:paraId="7254175E"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39</w:t>
            </w:r>
          </w:p>
        </w:tc>
        <w:tc>
          <w:tcPr>
            <w:tcW w:w="0" w:type="auto"/>
            <w:shd w:val="clear" w:color="auto" w:fill="auto"/>
            <w:hideMark/>
          </w:tcPr>
          <w:p w14:paraId="1F115D1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0.067</w:t>
            </w:r>
          </w:p>
        </w:tc>
      </w:tr>
      <w:tr w:rsidR="00407A33" w:rsidRPr="00407A33" w14:paraId="74E5D33C" w14:textId="77777777" w:rsidTr="00407A33">
        <w:trPr>
          <w:trHeight w:val="512"/>
        </w:trPr>
        <w:tc>
          <w:tcPr>
            <w:tcW w:w="0" w:type="auto"/>
            <w:shd w:val="clear" w:color="auto" w:fill="auto"/>
            <w:hideMark/>
          </w:tcPr>
          <w:p w14:paraId="211B2FEF" w14:textId="77777777" w:rsidR="00407A33" w:rsidRPr="00407A33" w:rsidRDefault="00407A33" w:rsidP="00407A33">
            <w:pPr>
              <w:spacing w:after="0" w:line="240" w:lineRule="auto"/>
              <w:contextualSpacing/>
              <w:rPr>
                <w:rFonts w:ascii="Cambria" w:eastAsia="Times New Roman" w:hAnsi="Cambria" w:cs="Calibri"/>
                <w:color w:val="000000"/>
                <w:sz w:val="20"/>
                <w:szCs w:val="20"/>
              </w:rPr>
            </w:pPr>
            <w:r w:rsidRPr="00407A33">
              <w:rPr>
                <w:rFonts w:ascii="Cambria" w:eastAsia="Times New Roman" w:hAnsi="Cambria" w:cs="Calibri"/>
                <w:color w:val="000000"/>
                <w:sz w:val="20"/>
                <w:szCs w:val="20"/>
              </w:rPr>
              <w:t>Diagnosis of painful condition in prior year (%)</w:t>
            </w:r>
          </w:p>
        </w:tc>
        <w:tc>
          <w:tcPr>
            <w:tcW w:w="0" w:type="auto"/>
            <w:shd w:val="clear" w:color="auto" w:fill="auto"/>
            <w:hideMark/>
          </w:tcPr>
          <w:p w14:paraId="2B0A9581"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66.5</w:t>
            </w:r>
          </w:p>
        </w:tc>
        <w:tc>
          <w:tcPr>
            <w:tcW w:w="0" w:type="auto"/>
            <w:shd w:val="clear" w:color="auto" w:fill="auto"/>
            <w:hideMark/>
          </w:tcPr>
          <w:p w14:paraId="501639BF"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63.4</w:t>
            </w:r>
          </w:p>
        </w:tc>
        <w:tc>
          <w:tcPr>
            <w:tcW w:w="0" w:type="auto"/>
            <w:shd w:val="clear" w:color="auto" w:fill="auto"/>
            <w:hideMark/>
          </w:tcPr>
          <w:p w14:paraId="7FB243F4" w14:textId="77777777" w:rsidR="00407A33" w:rsidRPr="00407A33" w:rsidRDefault="00407A33" w:rsidP="00407A33">
            <w:pPr>
              <w:spacing w:after="0" w:line="240" w:lineRule="auto"/>
              <w:contextualSpacing/>
              <w:jc w:val="right"/>
              <w:rPr>
                <w:rFonts w:ascii="Cambria" w:eastAsia="Times New Roman" w:hAnsi="Cambria" w:cs="Calibri"/>
                <w:color w:val="000000"/>
                <w:sz w:val="20"/>
                <w:szCs w:val="20"/>
              </w:rPr>
            </w:pPr>
            <w:r w:rsidRPr="00407A33">
              <w:rPr>
                <w:rFonts w:ascii="Cambria" w:eastAsia="Times New Roman" w:hAnsi="Cambria" w:cs="Calibri"/>
                <w:color w:val="000000"/>
                <w:sz w:val="20"/>
                <w:szCs w:val="20"/>
              </w:rPr>
              <w:t>0.066</w:t>
            </w:r>
          </w:p>
        </w:tc>
      </w:tr>
    </w:tbl>
    <w:p w14:paraId="13B27AA0" w14:textId="392FA927" w:rsidR="00407A33" w:rsidRDefault="00407A33" w:rsidP="00407A33">
      <w:pPr>
        <w:pStyle w:val="p"/>
        <w:shd w:val="clear" w:color="auto" w:fill="FFFFFF"/>
        <w:spacing w:before="400" w:beforeAutospacing="0" w:after="400" w:afterAutospacing="0"/>
        <w:contextualSpacing/>
        <w:rPr>
          <w:rFonts w:ascii="Cambria" w:hAnsi="Cambria"/>
          <w:color w:val="212121"/>
        </w:rPr>
      </w:pPr>
    </w:p>
    <w:p w14:paraId="74790CBD" w14:textId="7FC45446" w:rsidR="008C3EB8" w:rsidRPr="008C3EB8" w:rsidRDefault="008C3EB8" w:rsidP="00407A33">
      <w:pPr>
        <w:pStyle w:val="p"/>
        <w:shd w:val="clear" w:color="auto" w:fill="FFFFFF"/>
        <w:spacing w:before="400" w:beforeAutospacing="0" w:after="400" w:afterAutospacing="0"/>
        <w:contextualSpacing/>
        <w:rPr>
          <w:rFonts w:ascii="Cambria" w:hAnsi="Cambria"/>
          <w:b/>
          <w:bCs/>
          <w:color w:val="212121"/>
        </w:rPr>
      </w:pPr>
      <w:r>
        <w:rPr>
          <w:rFonts w:ascii="Cambria" w:hAnsi="Cambria"/>
          <w:b/>
          <w:bCs/>
          <w:color w:val="212121"/>
        </w:rPr>
        <w:t>Table 2</w:t>
      </w:r>
    </w:p>
    <w:tbl>
      <w:tblPr>
        <w:tblW w:w="6300" w:type="dxa"/>
        <w:tblBorders>
          <w:top w:val="single" w:sz="8" w:space="0" w:color="000000"/>
          <w:insideH w:val="single" w:sz="4" w:space="0" w:color="auto"/>
          <w:insideV w:val="single" w:sz="4" w:space="0" w:color="auto"/>
        </w:tblBorders>
        <w:tblLook w:val="04A0" w:firstRow="1" w:lastRow="0" w:firstColumn="1" w:lastColumn="0" w:noHBand="0" w:noVBand="1"/>
      </w:tblPr>
      <w:tblGrid>
        <w:gridCol w:w="1480"/>
        <w:gridCol w:w="1850"/>
        <w:gridCol w:w="1980"/>
        <w:gridCol w:w="990"/>
      </w:tblGrid>
      <w:tr w:rsidR="008C3EB8" w:rsidRPr="008C3EB8" w14:paraId="428E6684" w14:textId="77777777" w:rsidTr="00B36768">
        <w:trPr>
          <w:trHeight w:val="504"/>
        </w:trPr>
        <w:tc>
          <w:tcPr>
            <w:tcW w:w="1480" w:type="dxa"/>
            <w:shd w:val="clear" w:color="auto" w:fill="auto"/>
            <w:hideMark/>
          </w:tcPr>
          <w:p w14:paraId="1BD10518" w14:textId="77777777" w:rsidR="008C3EB8" w:rsidRPr="008C3EB8" w:rsidRDefault="008C3EB8" w:rsidP="008C3EB8">
            <w:pPr>
              <w:spacing w:after="0" w:line="240" w:lineRule="auto"/>
              <w:rPr>
                <w:rFonts w:ascii="Cambria" w:eastAsia="Times New Roman" w:hAnsi="Cambria" w:cs="Calibri"/>
                <w:b/>
                <w:bCs/>
                <w:color w:val="000000"/>
                <w:sz w:val="19"/>
                <w:szCs w:val="19"/>
              </w:rPr>
            </w:pPr>
            <w:r w:rsidRPr="008C3EB8">
              <w:rPr>
                <w:rFonts w:ascii="Cambria" w:eastAsia="Times New Roman" w:hAnsi="Cambria" w:cs="Calibri"/>
                <w:b/>
                <w:bCs/>
                <w:color w:val="000000"/>
                <w:sz w:val="19"/>
                <w:szCs w:val="19"/>
              </w:rPr>
              <w:t>Outcome</w:t>
            </w:r>
          </w:p>
        </w:tc>
        <w:tc>
          <w:tcPr>
            <w:tcW w:w="1850" w:type="dxa"/>
            <w:shd w:val="clear" w:color="auto" w:fill="auto"/>
            <w:hideMark/>
          </w:tcPr>
          <w:p w14:paraId="3CBD2669" w14:textId="77777777" w:rsidR="008C3EB8" w:rsidRPr="008C3EB8" w:rsidRDefault="008C3EB8" w:rsidP="008C3EB8">
            <w:pPr>
              <w:spacing w:after="0" w:line="240" w:lineRule="auto"/>
              <w:rPr>
                <w:rFonts w:ascii="Cambria" w:eastAsia="Times New Roman" w:hAnsi="Cambria" w:cs="Calibri"/>
                <w:b/>
                <w:bCs/>
                <w:color w:val="000000"/>
                <w:sz w:val="19"/>
                <w:szCs w:val="19"/>
              </w:rPr>
            </w:pPr>
            <w:r w:rsidRPr="008C3EB8">
              <w:rPr>
                <w:rFonts w:ascii="Cambria" w:eastAsia="Times New Roman" w:hAnsi="Cambria" w:cs="Calibri"/>
                <w:b/>
                <w:bCs/>
                <w:color w:val="000000"/>
                <w:sz w:val="19"/>
                <w:szCs w:val="19"/>
              </w:rPr>
              <w:t>With early MRI (</w:t>
            </w:r>
            <w:r w:rsidRPr="008C3EB8">
              <w:rPr>
                <w:rFonts w:ascii="Cambria" w:eastAsia="Times New Roman" w:hAnsi="Cambria" w:cs="Calibri"/>
                <w:b/>
                <w:bCs/>
                <w:i/>
                <w:iCs/>
                <w:color w:val="000000"/>
                <w:sz w:val="19"/>
                <w:szCs w:val="19"/>
              </w:rPr>
              <w:t>N</w:t>
            </w:r>
            <w:r w:rsidRPr="008C3EB8">
              <w:rPr>
                <w:rFonts w:ascii="Cambria" w:eastAsia="Times New Roman" w:hAnsi="Cambria" w:cs="Calibri"/>
                <w:b/>
                <w:bCs/>
                <w:color w:val="000000"/>
                <w:sz w:val="19"/>
                <w:szCs w:val="19"/>
              </w:rPr>
              <w:t> = 9977)</w:t>
            </w:r>
          </w:p>
        </w:tc>
        <w:tc>
          <w:tcPr>
            <w:tcW w:w="1980" w:type="dxa"/>
            <w:shd w:val="clear" w:color="auto" w:fill="auto"/>
            <w:hideMark/>
          </w:tcPr>
          <w:p w14:paraId="3F7768EE" w14:textId="77777777" w:rsidR="008C3EB8" w:rsidRPr="008C3EB8" w:rsidRDefault="008C3EB8" w:rsidP="008C3EB8">
            <w:pPr>
              <w:spacing w:after="0" w:line="240" w:lineRule="auto"/>
              <w:rPr>
                <w:rFonts w:ascii="Cambria" w:eastAsia="Times New Roman" w:hAnsi="Cambria" w:cs="Calibri"/>
                <w:b/>
                <w:bCs/>
                <w:color w:val="000000"/>
                <w:sz w:val="19"/>
                <w:szCs w:val="19"/>
              </w:rPr>
            </w:pPr>
            <w:r w:rsidRPr="008C3EB8">
              <w:rPr>
                <w:rFonts w:ascii="Cambria" w:eastAsia="Times New Roman" w:hAnsi="Cambria" w:cs="Calibri"/>
                <w:b/>
                <w:bCs/>
                <w:color w:val="000000"/>
                <w:sz w:val="19"/>
                <w:szCs w:val="19"/>
              </w:rPr>
              <w:t>Without early MRI (</w:t>
            </w:r>
            <w:r w:rsidRPr="008C3EB8">
              <w:rPr>
                <w:rFonts w:ascii="Cambria" w:eastAsia="Times New Roman" w:hAnsi="Cambria" w:cs="Calibri"/>
                <w:b/>
                <w:bCs/>
                <w:i/>
                <w:iCs/>
                <w:color w:val="000000"/>
                <w:sz w:val="19"/>
                <w:szCs w:val="19"/>
              </w:rPr>
              <w:t>N</w:t>
            </w:r>
            <w:r w:rsidRPr="008C3EB8">
              <w:rPr>
                <w:rFonts w:ascii="Cambria" w:eastAsia="Times New Roman" w:hAnsi="Cambria" w:cs="Calibri"/>
                <w:b/>
                <w:bCs/>
                <w:color w:val="000000"/>
                <w:sz w:val="19"/>
                <w:szCs w:val="19"/>
              </w:rPr>
              <w:t> = 395,718)</w:t>
            </w:r>
          </w:p>
        </w:tc>
        <w:tc>
          <w:tcPr>
            <w:tcW w:w="990" w:type="dxa"/>
            <w:shd w:val="clear" w:color="auto" w:fill="auto"/>
            <w:hideMark/>
          </w:tcPr>
          <w:p w14:paraId="630143AE" w14:textId="77777777" w:rsidR="008C3EB8" w:rsidRPr="008C3EB8" w:rsidRDefault="008C3EB8" w:rsidP="008C3EB8">
            <w:pPr>
              <w:spacing w:after="0" w:line="240" w:lineRule="auto"/>
              <w:rPr>
                <w:rFonts w:ascii="Cambria" w:eastAsia="Times New Roman" w:hAnsi="Cambria" w:cs="Calibri"/>
                <w:b/>
                <w:bCs/>
                <w:i/>
                <w:iCs/>
                <w:color w:val="000000"/>
                <w:sz w:val="19"/>
                <w:szCs w:val="19"/>
              </w:rPr>
            </w:pPr>
            <w:r w:rsidRPr="008C3EB8">
              <w:rPr>
                <w:rFonts w:ascii="Cambria" w:eastAsia="Times New Roman" w:hAnsi="Cambria" w:cs="Calibri"/>
                <w:b/>
                <w:bCs/>
                <w:i/>
                <w:iCs/>
                <w:color w:val="000000"/>
                <w:sz w:val="19"/>
                <w:szCs w:val="19"/>
              </w:rPr>
              <w:t>p</w:t>
            </w:r>
          </w:p>
        </w:tc>
      </w:tr>
      <w:tr w:rsidR="008C3EB8" w:rsidRPr="008C3EB8" w14:paraId="08E723E6" w14:textId="77777777" w:rsidTr="00B36768">
        <w:trPr>
          <w:trHeight w:val="504"/>
        </w:trPr>
        <w:tc>
          <w:tcPr>
            <w:tcW w:w="1480" w:type="dxa"/>
            <w:shd w:val="clear" w:color="auto" w:fill="auto"/>
            <w:hideMark/>
          </w:tcPr>
          <w:p w14:paraId="6BFFBCE7" w14:textId="77777777" w:rsidR="008C3EB8" w:rsidRPr="008C3EB8" w:rsidRDefault="008C3EB8" w:rsidP="008C3EB8">
            <w:pPr>
              <w:spacing w:after="0" w:line="240" w:lineRule="auto"/>
              <w:rPr>
                <w:rFonts w:ascii="Cambria" w:eastAsia="Times New Roman" w:hAnsi="Cambria" w:cs="Calibri"/>
                <w:color w:val="000000"/>
                <w:sz w:val="19"/>
                <w:szCs w:val="19"/>
              </w:rPr>
            </w:pPr>
            <w:r w:rsidRPr="008C3EB8">
              <w:rPr>
                <w:rFonts w:ascii="Cambria" w:eastAsia="Times New Roman" w:hAnsi="Cambria" w:cs="Calibri"/>
                <w:color w:val="000000"/>
                <w:sz w:val="19"/>
                <w:szCs w:val="19"/>
              </w:rPr>
              <w:t>Lumbar surgery (%)</w:t>
            </w:r>
          </w:p>
        </w:tc>
        <w:tc>
          <w:tcPr>
            <w:tcW w:w="1850" w:type="dxa"/>
            <w:shd w:val="clear" w:color="auto" w:fill="auto"/>
            <w:hideMark/>
          </w:tcPr>
          <w:p w14:paraId="4CFED9C9"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1.49</w:t>
            </w:r>
          </w:p>
        </w:tc>
        <w:tc>
          <w:tcPr>
            <w:tcW w:w="1980" w:type="dxa"/>
            <w:shd w:val="clear" w:color="auto" w:fill="auto"/>
            <w:hideMark/>
          </w:tcPr>
          <w:p w14:paraId="67F5D533"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0.09</w:t>
            </w:r>
          </w:p>
        </w:tc>
        <w:tc>
          <w:tcPr>
            <w:tcW w:w="990" w:type="dxa"/>
            <w:shd w:val="clear" w:color="auto" w:fill="auto"/>
            <w:hideMark/>
          </w:tcPr>
          <w:p w14:paraId="5D00F5EB"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&lt; 0.001</w:t>
            </w:r>
          </w:p>
        </w:tc>
      </w:tr>
      <w:tr w:rsidR="008C3EB8" w:rsidRPr="008C3EB8" w14:paraId="21A126EB" w14:textId="77777777" w:rsidTr="00B36768">
        <w:trPr>
          <w:trHeight w:val="504"/>
        </w:trPr>
        <w:tc>
          <w:tcPr>
            <w:tcW w:w="1480" w:type="dxa"/>
            <w:shd w:val="clear" w:color="auto" w:fill="auto"/>
            <w:hideMark/>
          </w:tcPr>
          <w:p w14:paraId="2658D4C5" w14:textId="77777777" w:rsidR="008C3EB8" w:rsidRPr="008C3EB8" w:rsidRDefault="008C3EB8" w:rsidP="008C3EB8">
            <w:pPr>
              <w:spacing w:after="0" w:line="240" w:lineRule="auto"/>
              <w:rPr>
                <w:rFonts w:ascii="Cambria" w:eastAsia="Times New Roman" w:hAnsi="Cambria" w:cs="Calibri"/>
                <w:color w:val="000000"/>
                <w:sz w:val="19"/>
                <w:szCs w:val="19"/>
              </w:rPr>
            </w:pPr>
            <w:r w:rsidRPr="008C3EB8">
              <w:rPr>
                <w:rFonts w:ascii="Cambria" w:eastAsia="Times New Roman" w:hAnsi="Cambria" w:cs="Calibri"/>
                <w:color w:val="000000"/>
                <w:sz w:val="19"/>
                <w:szCs w:val="19"/>
              </w:rPr>
              <w:t>Prescription opioid use (%)</w:t>
            </w:r>
          </w:p>
        </w:tc>
        <w:tc>
          <w:tcPr>
            <w:tcW w:w="1850" w:type="dxa"/>
            <w:shd w:val="clear" w:color="auto" w:fill="auto"/>
            <w:hideMark/>
          </w:tcPr>
          <w:p w14:paraId="38E75578"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36.7</w:t>
            </w:r>
          </w:p>
        </w:tc>
        <w:tc>
          <w:tcPr>
            <w:tcW w:w="1980" w:type="dxa"/>
            <w:shd w:val="clear" w:color="auto" w:fill="auto"/>
            <w:hideMark/>
          </w:tcPr>
          <w:p w14:paraId="1DC6B683"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28.5</w:t>
            </w:r>
          </w:p>
        </w:tc>
        <w:tc>
          <w:tcPr>
            <w:tcW w:w="990" w:type="dxa"/>
            <w:shd w:val="clear" w:color="auto" w:fill="auto"/>
            <w:hideMark/>
          </w:tcPr>
          <w:p w14:paraId="6B5471DD" w14:textId="77777777" w:rsidR="008C3EB8" w:rsidRPr="008C3EB8" w:rsidRDefault="008C3EB8" w:rsidP="008C3EB8">
            <w:pPr>
              <w:spacing w:after="0" w:line="240" w:lineRule="auto"/>
              <w:jc w:val="right"/>
              <w:rPr>
                <w:rFonts w:ascii="Cambria" w:eastAsia="Times New Roman" w:hAnsi="Cambria" w:cs="Calibri"/>
                <w:color w:val="000000"/>
                <w:sz w:val="19"/>
                <w:szCs w:val="19"/>
              </w:rPr>
            </w:pPr>
            <w:r w:rsidRPr="008C3EB8">
              <w:rPr>
                <w:rFonts w:ascii="Cambria" w:eastAsia="Times New Roman" w:hAnsi="Cambria" w:cs="Calibri"/>
                <w:color w:val="000000"/>
                <w:sz w:val="19"/>
                <w:szCs w:val="19"/>
              </w:rPr>
              <w:t>&lt; 0.001</w:t>
            </w:r>
          </w:p>
        </w:tc>
      </w:tr>
    </w:tbl>
    <w:p w14:paraId="34C50E32" w14:textId="0CA0941B" w:rsidR="008C3EB8" w:rsidRDefault="008C3EB8" w:rsidP="00407A33">
      <w:pPr>
        <w:pStyle w:val="p"/>
        <w:shd w:val="clear" w:color="auto" w:fill="FFFFFF"/>
        <w:spacing w:before="400" w:beforeAutospacing="0" w:after="400" w:afterAutospacing="0"/>
        <w:contextualSpacing/>
        <w:rPr>
          <w:rFonts w:ascii="Cambria" w:hAnsi="Cambria"/>
          <w:color w:val="212121"/>
        </w:rPr>
      </w:pPr>
    </w:p>
    <w:p w14:paraId="075E896F" w14:textId="50CB0E96" w:rsidR="00C458D3" w:rsidRDefault="00C458D3" w:rsidP="00407A33">
      <w:pPr>
        <w:pStyle w:val="p"/>
        <w:shd w:val="clear" w:color="auto" w:fill="FFFFFF"/>
        <w:spacing w:before="400" w:beforeAutospacing="0" w:after="400" w:afterAutospacing="0"/>
        <w:contextualSpacing/>
        <w:rPr>
          <w:rFonts w:ascii="Cambria" w:hAnsi="Cambria"/>
          <w:color w:val="212121"/>
        </w:rPr>
      </w:pPr>
    </w:p>
    <w:p w14:paraId="18FB713A" w14:textId="013384A8" w:rsidR="00C458D3" w:rsidRDefault="00C458D3" w:rsidP="00407A33">
      <w:pPr>
        <w:pStyle w:val="p"/>
        <w:shd w:val="clear" w:color="auto" w:fill="FFFFFF"/>
        <w:spacing w:before="400" w:beforeAutospacing="0" w:after="400" w:afterAutospacing="0"/>
        <w:contextualSpacing/>
        <w:rPr>
          <w:rFonts w:ascii="Cambria" w:hAnsi="Cambria"/>
          <w:color w:val="212121"/>
        </w:rPr>
      </w:pPr>
    </w:p>
    <w:p w14:paraId="3074D88E" w14:textId="75F93FBE" w:rsidR="00C458D3" w:rsidRPr="00C458D3" w:rsidRDefault="00C458D3" w:rsidP="00407A33">
      <w:pPr>
        <w:pStyle w:val="p"/>
        <w:shd w:val="clear" w:color="auto" w:fill="FFFFFF"/>
        <w:spacing w:before="400" w:beforeAutospacing="0" w:after="400" w:afterAutospacing="0"/>
        <w:contextualSpacing/>
        <w:rPr>
          <w:rFonts w:ascii="Cambria" w:hAnsi="Cambria"/>
          <w:b/>
          <w:bCs/>
          <w:color w:val="212121"/>
        </w:rPr>
      </w:pPr>
      <w:r>
        <w:rPr>
          <w:rFonts w:ascii="Cambria" w:hAnsi="Cambria"/>
          <w:b/>
          <w:bCs/>
          <w:color w:val="212121"/>
        </w:rPr>
        <w:t xml:space="preserve">Table </w:t>
      </w:r>
      <w:r>
        <w:rPr>
          <w:rFonts w:ascii="Cambria" w:hAnsi="Cambria"/>
          <w:b/>
          <w:bCs/>
          <w:color w:val="212121"/>
        </w:rPr>
        <w:t>3</w:t>
      </w:r>
    </w:p>
    <w:tbl>
      <w:tblPr>
        <w:tblW w:w="8100" w:type="dxa"/>
        <w:tblBorders>
          <w:top w:val="single" w:sz="8" w:space="0" w:color="000000"/>
          <w:insideH w:val="single" w:sz="4" w:space="0" w:color="auto"/>
          <w:insideV w:val="single" w:sz="4" w:space="0" w:color="auto"/>
        </w:tblBorders>
        <w:tblLook w:val="04A0" w:firstRow="1" w:lastRow="0" w:firstColumn="1" w:lastColumn="0" w:noHBand="0" w:noVBand="1"/>
      </w:tblPr>
      <w:tblGrid>
        <w:gridCol w:w="1222"/>
        <w:gridCol w:w="1838"/>
        <w:gridCol w:w="1800"/>
        <w:gridCol w:w="1080"/>
        <w:gridCol w:w="2160"/>
      </w:tblGrid>
      <w:tr w:rsidR="00C458D3" w:rsidRPr="00C458D3" w14:paraId="043CA4D2" w14:textId="77777777" w:rsidTr="00C458D3">
        <w:trPr>
          <w:trHeight w:val="480"/>
        </w:trPr>
        <w:tc>
          <w:tcPr>
            <w:tcW w:w="1222" w:type="dxa"/>
            <w:vMerge w:val="restart"/>
            <w:shd w:val="clear" w:color="auto" w:fill="auto"/>
            <w:vAlign w:val="bottom"/>
            <w:hideMark/>
          </w:tcPr>
          <w:p w14:paraId="29EABF9D"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lastRenderedPageBreak/>
              <w:t>Outcome</w:t>
            </w:r>
          </w:p>
        </w:tc>
        <w:tc>
          <w:tcPr>
            <w:tcW w:w="3638" w:type="dxa"/>
            <w:gridSpan w:val="2"/>
            <w:shd w:val="clear" w:color="auto" w:fill="auto"/>
            <w:vAlign w:val="bottom"/>
            <w:hideMark/>
          </w:tcPr>
          <w:p w14:paraId="2DC5BA36"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t>Adjusted mean</w:t>
            </w:r>
          </w:p>
        </w:tc>
        <w:tc>
          <w:tcPr>
            <w:tcW w:w="1080" w:type="dxa"/>
            <w:vMerge w:val="restart"/>
            <w:shd w:val="clear" w:color="auto" w:fill="auto"/>
            <w:vAlign w:val="bottom"/>
            <w:hideMark/>
          </w:tcPr>
          <w:p w14:paraId="15856ABC" w14:textId="77777777" w:rsidR="00C458D3" w:rsidRPr="00C458D3" w:rsidRDefault="00C458D3" w:rsidP="00C458D3">
            <w:pPr>
              <w:spacing w:after="0" w:line="240" w:lineRule="auto"/>
              <w:rPr>
                <w:rFonts w:ascii="Cambria" w:eastAsia="Times New Roman" w:hAnsi="Cambria" w:cs="Calibri"/>
                <w:b/>
                <w:bCs/>
                <w:i/>
                <w:iCs/>
                <w:color w:val="000000"/>
                <w:sz w:val="19"/>
                <w:szCs w:val="19"/>
              </w:rPr>
            </w:pPr>
            <w:r w:rsidRPr="00C458D3">
              <w:rPr>
                <w:rFonts w:ascii="Cambria" w:eastAsia="Times New Roman" w:hAnsi="Cambria" w:cs="Calibri"/>
                <w:b/>
                <w:bCs/>
                <w:i/>
                <w:iCs/>
                <w:color w:val="000000"/>
                <w:sz w:val="19"/>
                <w:szCs w:val="19"/>
              </w:rPr>
              <w:t>p</w:t>
            </w:r>
          </w:p>
        </w:tc>
        <w:tc>
          <w:tcPr>
            <w:tcW w:w="2160" w:type="dxa"/>
            <w:vMerge w:val="restart"/>
            <w:shd w:val="clear" w:color="auto" w:fill="auto"/>
            <w:vAlign w:val="bottom"/>
            <w:hideMark/>
          </w:tcPr>
          <w:p w14:paraId="3A5C5BDB"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t>Relative risk [95% CI]</w:t>
            </w:r>
          </w:p>
        </w:tc>
      </w:tr>
      <w:tr w:rsidR="00C458D3" w:rsidRPr="00C458D3" w14:paraId="16EC47DD" w14:textId="77777777" w:rsidTr="00C458D3">
        <w:trPr>
          <w:trHeight w:val="1020"/>
        </w:trPr>
        <w:tc>
          <w:tcPr>
            <w:tcW w:w="1222" w:type="dxa"/>
            <w:vMerge/>
            <w:vAlign w:val="center"/>
            <w:hideMark/>
          </w:tcPr>
          <w:p w14:paraId="258BD1F9" w14:textId="77777777" w:rsidR="00C458D3" w:rsidRPr="00C458D3" w:rsidRDefault="00C458D3" w:rsidP="00C458D3">
            <w:pPr>
              <w:spacing w:after="0" w:line="240" w:lineRule="auto"/>
              <w:rPr>
                <w:rFonts w:ascii="Cambria" w:eastAsia="Times New Roman" w:hAnsi="Cambria" w:cs="Calibri"/>
                <w:b/>
                <w:bCs/>
                <w:color w:val="000000"/>
                <w:sz w:val="19"/>
                <w:szCs w:val="19"/>
              </w:rPr>
            </w:pPr>
          </w:p>
        </w:tc>
        <w:tc>
          <w:tcPr>
            <w:tcW w:w="1838" w:type="dxa"/>
            <w:shd w:val="clear" w:color="auto" w:fill="auto"/>
            <w:vAlign w:val="bottom"/>
            <w:hideMark/>
          </w:tcPr>
          <w:p w14:paraId="00031474"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t>With early MRI (</w:t>
            </w:r>
            <w:r w:rsidRPr="00C458D3">
              <w:rPr>
                <w:rFonts w:ascii="Cambria" w:eastAsia="Times New Roman" w:hAnsi="Cambria" w:cs="Calibri"/>
                <w:b/>
                <w:bCs/>
                <w:i/>
                <w:iCs/>
                <w:color w:val="000000"/>
                <w:sz w:val="19"/>
                <w:szCs w:val="19"/>
              </w:rPr>
              <w:t>N</w:t>
            </w:r>
            <w:r w:rsidRPr="00C458D3">
              <w:rPr>
                <w:rFonts w:ascii="Cambria" w:eastAsia="Times New Roman" w:hAnsi="Cambria" w:cs="Calibri"/>
                <w:b/>
                <w:bCs/>
                <w:color w:val="000000"/>
                <w:sz w:val="19"/>
                <w:szCs w:val="19"/>
              </w:rPr>
              <w:t> = 9977)</w:t>
            </w:r>
          </w:p>
        </w:tc>
        <w:tc>
          <w:tcPr>
            <w:tcW w:w="1800" w:type="dxa"/>
            <w:shd w:val="clear" w:color="auto" w:fill="auto"/>
            <w:vAlign w:val="bottom"/>
            <w:hideMark/>
          </w:tcPr>
          <w:p w14:paraId="11345533" w14:textId="77777777" w:rsidR="00C458D3" w:rsidRPr="00C458D3" w:rsidRDefault="00C458D3" w:rsidP="00C458D3">
            <w:pPr>
              <w:spacing w:after="0" w:line="240" w:lineRule="auto"/>
              <w:rPr>
                <w:rFonts w:ascii="Cambria" w:eastAsia="Times New Roman" w:hAnsi="Cambria" w:cs="Calibri"/>
                <w:b/>
                <w:bCs/>
                <w:color w:val="000000"/>
                <w:sz w:val="19"/>
                <w:szCs w:val="19"/>
              </w:rPr>
            </w:pPr>
            <w:r w:rsidRPr="00C458D3">
              <w:rPr>
                <w:rFonts w:ascii="Cambria" w:eastAsia="Times New Roman" w:hAnsi="Cambria" w:cs="Calibri"/>
                <w:b/>
                <w:bCs/>
                <w:color w:val="000000"/>
                <w:sz w:val="19"/>
                <w:szCs w:val="19"/>
              </w:rPr>
              <w:t>Without early MRI (</w:t>
            </w:r>
            <w:r w:rsidRPr="00C458D3">
              <w:rPr>
                <w:rFonts w:ascii="Cambria" w:eastAsia="Times New Roman" w:hAnsi="Cambria" w:cs="Calibri"/>
                <w:b/>
                <w:bCs/>
                <w:i/>
                <w:iCs/>
                <w:color w:val="000000"/>
                <w:sz w:val="19"/>
                <w:szCs w:val="19"/>
              </w:rPr>
              <w:t>N</w:t>
            </w:r>
            <w:r w:rsidRPr="00C458D3">
              <w:rPr>
                <w:rFonts w:ascii="Cambria" w:eastAsia="Times New Roman" w:hAnsi="Cambria" w:cs="Calibri"/>
                <w:b/>
                <w:bCs/>
                <w:color w:val="000000"/>
                <w:sz w:val="19"/>
                <w:szCs w:val="19"/>
              </w:rPr>
              <w:t> = 395,718)</w:t>
            </w:r>
          </w:p>
        </w:tc>
        <w:tc>
          <w:tcPr>
            <w:tcW w:w="1080" w:type="dxa"/>
            <w:vMerge/>
            <w:vAlign w:val="center"/>
            <w:hideMark/>
          </w:tcPr>
          <w:p w14:paraId="1FB53BB4" w14:textId="77777777" w:rsidR="00C458D3" w:rsidRPr="00C458D3" w:rsidRDefault="00C458D3" w:rsidP="00C458D3">
            <w:pPr>
              <w:spacing w:after="0" w:line="240" w:lineRule="auto"/>
              <w:rPr>
                <w:rFonts w:ascii="Cambria" w:eastAsia="Times New Roman" w:hAnsi="Cambria" w:cs="Calibri"/>
                <w:b/>
                <w:bCs/>
                <w:i/>
                <w:iCs/>
                <w:color w:val="000000"/>
                <w:sz w:val="19"/>
                <w:szCs w:val="19"/>
              </w:rPr>
            </w:pPr>
          </w:p>
        </w:tc>
        <w:tc>
          <w:tcPr>
            <w:tcW w:w="2160" w:type="dxa"/>
            <w:vMerge/>
            <w:vAlign w:val="center"/>
            <w:hideMark/>
          </w:tcPr>
          <w:p w14:paraId="06C03635" w14:textId="77777777" w:rsidR="00C458D3" w:rsidRPr="00C458D3" w:rsidRDefault="00C458D3" w:rsidP="00C458D3">
            <w:pPr>
              <w:spacing w:after="0" w:line="240" w:lineRule="auto"/>
              <w:rPr>
                <w:rFonts w:ascii="Cambria" w:eastAsia="Times New Roman" w:hAnsi="Cambria" w:cs="Calibri"/>
                <w:b/>
                <w:bCs/>
                <w:color w:val="000000"/>
                <w:sz w:val="19"/>
                <w:szCs w:val="19"/>
              </w:rPr>
            </w:pPr>
          </w:p>
        </w:tc>
      </w:tr>
      <w:tr w:rsidR="00C458D3" w:rsidRPr="00C458D3" w14:paraId="1C8A654F" w14:textId="77777777" w:rsidTr="00C458D3">
        <w:trPr>
          <w:trHeight w:val="756"/>
        </w:trPr>
        <w:tc>
          <w:tcPr>
            <w:tcW w:w="1222" w:type="dxa"/>
            <w:shd w:val="clear" w:color="auto" w:fill="auto"/>
            <w:hideMark/>
          </w:tcPr>
          <w:p w14:paraId="018DB8C0" w14:textId="77777777" w:rsidR="00C458D3" w:rsidRPr="00C458D3" w:rsidRDefault="00C458D3" w:rsidP="00C458D3">
            <w:pPr>
              <w:spacing w:after="0" w:line="240" w:lineRule="auto"/>
              <w:rPr>
                <w:rFonts w:ascii="Cambria" w:eastAsia="Times New Roman" w:hAnsi="Cambria" w:cs="Calibri"/>
                <w:color w:val="000000"/>
                <w:sz w:val="19"/>
                <w:szCs w:val="19"/>
              </w:rPr>
            </w:pPr>
            <w:r w:rsidRPr="00C458D3">
              <w:rPr>
                <w:rFonts w:ascii="Cambria" w:eastAsia="Times New Roman" w:hAnsi="Cambria" w:cs="Calibri"/>
                <w:color w:val="000000"/>
                <w:sz w:val="19"/>
                <w:szCs w:val="19"/>
              </w:rPr>
              <w:t>Lumbar surgery (%)</w:t>
            </w:r>
          </w:p>
        </w:tc>
        <w:tc>
          <w:tcPr>
            <w:tcW w:w="1838" w:type="dxa"/>
            <w:shd w:val="clear" w:color="auto" w:fill="auto"/>
            <w:hideMark/>
          </w:tcPr>
          <w:p w14:paraId="34F55636"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1.48</w:t>
            </w:r>
          </w:p>
        </w:tc>
        <w:tc>
          <w:tcPr>
            <w:tcW w:w="1800" w:type="dxa"/>
            <w:shd w:val="clear" w:color="auto" w:fill="auto"/>
            <w:hideMark/>
          </w:tcPr>
          <w:p w14:paraId="42F91725"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0.12</w:t>
            </w:r>
          </w:p>
        </w:tc>
        <w:tc>
          <w:tcPr>
            <w:tcW w:w="1080" w:type="dxa"/>
            <w:shd w:val="clear" w:color="auto" w:fill="auto"/>
            <w:hideMark/>
          </w:tcPr>
          <w:p w14:paraId="68F9B2A4"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&lt; 0.001</w:t>
            </w:r>
          </w:p>
        </w:tc>
        <w:tc>
          <w:tcPr>
            <w:tcW w:w="2160" w:type="dxa"/>
            <w:shd w:val="clear" w:color="auto" w:fill="auto"/>
            <w:hideMark/>
          </w:tcPr>
          <w:p w14:paraId="4E47335D"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12.7 [10.3–15.5]</w:t>
            </w:r>
          </w:p>
        </w:tc>
      </w:tr>
      <w:tr w:rsidR="00C458D3" w:rsidRPr="00C458D3" w14:paraId="6C58F25E" w14:textId="77777777" w:rsidTr="00C458D3">
        <w:trPr>
          <w:trHeight w:val="756"/>
        </w:trPr>
        <w:tc>
          <w:tcPr>
            <w:tcW w:w="1222" w:type="dxa"/>
            <w:shd w:val="clear" w:color="auto" w:fill="auto"/>
            <w:hideMark/>
          </w:tcPr>
          <w:p w14:paraId="045D381B" w14:textId="77777777" w:rsidR="00C458D3" w:rsidRPr="00C458D3" w:rsidRDefault="00C458D3" w:rsidP="00C458D3">
            <w:pPr>
              <w:spacing w:after="0" w:line="240" w:lineRule="auto"/>
              <w:rPr>
                <w:rFonts w:ascii="Cambria" w:eastAsia="Times New Roman" w:hAnsi="Cambria" w:cs="Calibri"/>
                <w:color w:val="000000"/>
                <w:sz w:val="19"/>
                <w:szCs w:val="19"/>
              </w:rPr>
            </w:pPr>
            <w:r w:rsidRPr="00C458D3">
              <w:rPr>
                <w:rFonts w:ascii="Cambria" w:eastAsia="Times New Roman" w:hAnsi="Cambria" w:cs="Calibri"/>
                <w:color w:val="000000"/>
                <w:sz w:val="19"/>
                <w:szCs w:val="19"/>
              </w:rPr>
              <w:t>Prescription opioid use (%)</w:t>
            </w:r>
          </w:p>
        </w:tc>
        <w:tc>
          <w:tcPr>
            <w:tcW w:w="1838" w:type="dxa"/>
            <w:shd w:val="clear" w:color="auto" w:fill="auto"/>
            <w:hideMark/>
          </w:tcPr>
          <w:p w14:paraId="073E2453"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35.1</w:t>
            </w:r>
          </w:p>
        </w:tc>
        <w:tc>
          <w:tcPr>
            <w:tcW w:w="1800" w:type="dxa"/>
            <w:shd w:val="clear" w:color="auto" w:fill="auto"/>
            <w:hideMark/>
          </w:tcPr>
          <w:p w14:paraId="760446B0"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28.6</w:t>
            </w:r>
          </w:p>
        </w:tc>
        <w:tc>
          <w:tcPr>
            <w:tcW w:w="1080" w:type="dxa"/>
            <w:shd w:val="clear" w:color="auto" w:fill="auto"/>
            <w:hideMark/>
          </w:tcPr>
          <w:p w14:paraId="1D18B32B"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&lt; 0.001</w:t>
            </w:r>
          </w:p>
        </w:tc>
        <w:tc>
          <w:tcPr>
            <w:tcW w:w="2160" w:type="dxa"/>
            <w:shd w:val="clear" w:color="auto" w:fill="auto"/>
            <w:hideMark/>
          </w:tcPr>
          <w:p w14:paraId="579E3B62" w14:textId="77777777" w:rsidR="00C458D3" w:rsidRPr="00C458D3" w:rsidRDefault="00C458D3" w:rsidP="00C458D3">
            <w:pPr>
              <w:spacing w:after="0" w:line="240" w:lineRule="auto"/>
              <w:jc w:val="right"/>
              <w:rPr>
                <w:rFonts w:ascii="Cambria" w:eastAsia="Times New Roman" w:hAnsi="Cambria" w:cs="Calibri"/>
                <w:color w:val="000000"/>
                <w:sz w:val="19"/>
                <w:szCs w:val="19"/>
              </w:rPr>
            </w:pPr>
            <w:r w:rsidRPr="00C458D3">
              <w:rPr>
                <w:rFonts w:ascii="Cambria" w:eastAsia="Times New Roman" w:hAnsi="Cambria" w:cs="Calibri"/>
                <w:color w:val="000000"/>
                <w:sz w:val="19"/>
                <w:szCs w:val="19"/>
              </w:rPr>
              <w:t>1.23 [1.20–1.27]</w:t>
            </w:r>
          </w:p>
        </w:tc>
      </w:tr>
    </w:tbl>
    <w:p w14:paraId="073E9ED0" w14:textId="77777777" w:rsidR="00C458D3" w:rsidRPr="0016170F" w:rsidRDefault="00C458D3" w:rsidP="00407A33">
      <w:pPr>
        <w:pStyle w:val="p"/>
        <w:shd w:val="clear" w:color="auto" w:fill="FFFFFF"/>
        <w:spacing w:before="400" w:beforeAutospacing="0" w:after="400" w:afterAutospacing="0"/>
        <w:contextualSpacing/>
        <w:rPr>
          <w:rFonts w:ascii="Cambria" w:hAnsi="Cambria"/>
          <w:color w:val="212121"/>
        </w:rPr>
      </w:pPr>
    </w:p>
    <w:sectPr w:rsidR="00C458D3" w:rsidRPr="0016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D9"/>
    <w:rsid w:val="0016170F"/>
    <w:rsid w:val="00252C21"/>
    <w:rsid w:val="00280969"/>
    <w:rsid w:val="002D6425"/>
    <w:rsid w:val="00330A87"/>
    <w:rsid w:val="00407A33"/>
    <w:rsid w:val="004575A2"/>
    <w:rsid w:val="0067648D"/>
    <w:rsid w:val="007E11DF"/>
    <w:rsid w:val="008C3EB8"/>
    <w:rsid w:val="00970423"/>
    <w:rsid w:val="00984CD9"/>
    <w:rsid w:val="00B36768"/>
    <w:rsid w:val="00C31094"/>
    <w:rsid w:val="00C458D3"/>
    <w:rsid w:val="00F2175F"/>
    <w:rsid w:val="00F7290C"/>
    <w:rsid w:val="00FB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2159"/>
  <w15:chartTrackingRefBased/>
  <w15:docId w15:val="{C2490ACF-A299-4B61-A487-4BDE73AF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4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C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4C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C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C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4CD9"/>
    <w:rPr>
      <w:rFonts w:ascii="Times New Roman" w:eastAsia="Times New Roman" w:hAnsi="Times New Roman" w:cs="Times New Roman"/>
      <w:b/>
      <w:bCs/>
      <w:sz w:val="24"/>
      <w:szCs w:val="24"/>
    </w:rPr>
  </w:style>
  <w:style w:type="paragraph" w:customStyle="1" w:styleId="p">
    <w:name w:val="p"/>
    <w:basedOn w:val="Normal"/>
    <w:rsid w:val="00984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CD9"/>
    <w:rPr>
      <w:color w:val="0000FF"/>
      <w:u w:val="single"/>
    </w:rPr>
  </w:style>
  <w:style w:type="paragraph" w:styleId="NormalWeb">
    <w:name w:val="Normal (Web)"/>
    <w:basedOn w:val="Normal"/>
    <w:uiPriority w:val="99"/>
    <w:unhideWhenUsed/>
    <w:rsid w:val="00984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984CD9"/>
  </w:style>
  <w:style w:type="character" w:styleId="Emphasis">
    <w:name w:val="Emphasis"/>
    <w:basedOn w:val="DefaultParagraphFont"/>
    <w:uiPriority w:val="20"/>
    <w:qFormat/>
    <w:rsid w:val="00984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182">
      <w:marLeft w:val="0"/>
      <w:marRight w:val="0"/>
      <w:marTop w:val="0"/>
      <w:marBottom w:val="0"/>
      <w:divBdr>
        <w:top w:val="none" w:sz="0" w:space="0" w:color="auto"/>
        <w:left w:val="none" w:sz="0" w:space="0" w:color="auto"/>
        <w:bottom w:val="none" w:sz="0" w:space="0" w:color="auto"/>
        <w:right w:val="none" w:sz="0" w:space="0" w:color="auto"/>
      </w:divBdr>
    </w:div>
    <w:div w:id="234322485">
      <w:bodyDiv w:val="1"/>
      <w:marLeft w:val="0"/>
      <w:marRight w:val="0"/>
      <w:marTop w:val="0"/>
      <w:marBottom w:val="0"/>
      <w:divBdr>
        <w:top w:val="none" w:sz="0" w:space="0" w:color="auto"/>
        <w:left w:val="none" w:sz="0" w:space="0" w:color="auto"/>
        <w:bottom w:val="none" w:sz="0" w:space="0" w:color="auto"/>
        <w:right w:val="none" w:sz="0" w:space="0" w:color="auto"/>
      </w:divBdr>
      <w:divsChild>
        <w:div w:id="402487560">
          <w:marLeft w:val="0"/>
          <w:marRight w:val="0"/>
          <w:marTop w:val="400"/>
          <w:marBottom w:val="400"/>
          <w:divBdr>
            <w:top w:val="none" w:sz="0" w:space="0" w:color="auto"/>
            <w:left w:val="none" w:sz="0" w:space="0" w:color="auto"/>
            <w:bottom w:val="none" w:sz="0" w:space="0" w:color="auto"/>
            <w:right w:val="none" w:sz="0" w:space="0" w:color="auto"/>
          </w:divBdr>
        </w:div>
        <w:div w:id="1622880967">
          <w:marLeft w:val="0"/>
          <w:marRight w:val="0"/>
          <w:marTop w:val="400"/>
          <w:marBottom w:val="400"/>
          <w:divBdr>
            <w:top w:val="none" w:sz="0" w:space="0" w:color="auto"/>
            <w:left w:val="none" w:sz="0" w:space="0" w:color="auto"/>
            <w:bottom w:val="none" w:sz="0" w:space="0" w:color="auto"/>
            <w:right w:val="none" w:sz="0" w:space="0" w:color="auto"/>
          </w:divBdr>
          <w:divsChild>
            <w:div w:id="1350378121">
              <w:marLeft w:val="0"/>
              <w:marRight w:val="0"/>
              <w:marTop w:val="400"/>
              <w:marBottom w:val="400"/>
              <w:divBdr>
                <w:top w:val="none" w:sz="0" w:space="0" w:color="auto"/>
                <w:left w:val="none" w:sz="0" w:space="0" w:color="auto"/>
                <w:bottom w:val="none" w:sz="0" w:space="0" w:color="auto"/>
                <w:right w:val="none" w:sz="0" w:space="0" w:color="auto"/>
              </w:divBdr>
            </w:div>
            <w:div w:id="1893230011">
              <w:marLeft w:val="0"/>
              <w:marRight w:val="0"/>
              <w:marTop w:val="400"/>
              <w:marBottom w:val="400"/>
              <w:divBdr>
                <w:top w:val="none" w:sz="0" w:space="0" w:color="auto"/>
                <w:left w:val="none" w:sz="0" w:space="0" w:color="auto"/>
                <w:bottom w:val="none" w:sz="0" w:space="0" w:color="auto"/>
                <w:right w:val="none" w:sz="0" w:space="0" w:color="auto"/>
              </w:divBdr>
            </w:div>
            <w:div w:id="1330719407">
              <w:marLeft w:val="0"/>
              <w:marRight w:val="0"/>
              <w:marTop w:val="400"/>
              <w:marBottom w:val="400"/>
              <w:divBdr>
                <w:top w:val="none" w:sz="0" w:space="0" w:color="auto"/>
                <w:left w:val="none" w:sz="0" w:space="0" w:color="auto"/>
                <w:bottom w:val="none" w:sz="0" w:space="0" w:color="auto"/>
                <w:right w:val="none" w:sz="0" w:space="0" w:color="auto"/>
              </w:divBdr>
            </w:div>
            <w:div w:id="1441293388">
              <w:marLeft w:val="0"/>
              <w:marRight w:val="0"/>
              <w:marTop w:val="400"/>
              <w:marBottom w:val="400"/>
              <w:divBdr>
                <w:top w:val="none" w:sz="0" w:space="0" w:color="auto"/>
                <w:left w:val="none" w:sz="0" w:space="0" w:color="auto"/>
                <w:bottom w:val="none" w:sz="0" w:space="0" w:color="auto"/>
                <w:right w:val="none" w:sz="0" w:space="0" w:color="auto"/>
              </w:divBdr>
              <w:divsChild>
                <w:div w:id="150410795">
                  <w:marLeft w:val="0"/>
                  <w:marRight w:val="0"/>
                  <w:marTop w:val="400"/>
                  <w:marBottom w:val="400"/>
                  <w:divBdr>
                    <w:top w:val="none" w:sz="0" w:space="0" w:color="auto"/>
                    <w:left w:val="none" w:sz="0" w:space="0" w:color="auto"/>
                    <w:bottom w:val="none" w:sz="0" w:space="0" w:color="auto"/>
                    <w:right w:val="none" w:sz="0" w:space="0" w:color="auto"/>
                  </w:divBdr>
                </w:div>
                <w:div w:id="1828550095">
                  <w:marLeft w:val="0"/>
                  <w:marRight w:val="0"/>
                  <w:marTop w:val="400"/>
                  <w:marBottom w:val="400"/>
                  <w:divBdr>
                    <w:top w:val="none" w:sz="0" w:space="0" w:color="auto"/>
                    <w:left w:val="none" w:sz="0" w:space="0" w:color="auto"/>
                    <w:bottom w:val="none" w:sz="0" w:space="0" w:color="auto"/>
                    <w:right w:val="none" w:sz="0" w:space="0" w:color="auto"/>
                  </w:divBdr>
                </w:div>
                <w:div w:id="766077813">
                  <w:marLeft w:val="0"/>
                  <w:marRight w:val="0"/>
                  <w:marTop w:val="400"/>
                  <w:marBottom w:val="400"/>
                  <w:divBdr>
                    <w:top w:val="none" w:sz="0" w:space="0" w:color="auto"/>
                    <w:left w:val="none" w:sz="0" w:space="0" w:color="auto"/>
                    <w:bottom w:val="none" w:sz="0" w:space="0" w:color="auto"/>
                    <w:right w:val="none" w:sz="0" w:space="0" w:color="auto"/>
                  </w:divBdr>
                </w:div>
                <w:div w:id="368410149">
                  <w:marLeft w:val="0"/>
                  <w:marRight w:val="0"/>
                  <w:marTop w:val="400"/>
                  <w:marBottom w:val="400"/>
                  <w:divBdr>
                    <w:top w:val="none" w:sz="0" w:space="0" w:color="auto"/>
                    <w:left w:val="none" w:sz="0" w:space="0" w:color="auto"/>
                    <w:bottom w:val="none" w:sz="0" w:space="0" w:color="auto"/>
                    <w:right w:val="none" w:sz="0" w:space="0" w:color="auto"/>
                  </w:divBdr>
                </w:div>
                <w:div w:id="1962221939">
                  <w:marLeft w:val="0"/>
                  <w:marRight w:val="0"/>
                  <w:marTop w:val="400"/>
                  <w:marBottom w:val="400"/>
                  <w:divBdr>
                    <w:top w:val="none" w:sz="0" w:space="0" w:color="auto"/>
                    <w:left w:val="none" w:sz="0" w:space="0" w:color="auto"/>
                    <w:bottom w:val="none" w:sz="0" w:space="0" w:color="auto"/>
                    <w:right w:val="none" w:sz="0" w:space="0" w:color="auto"/>
                  </w:divBdr>
                </w:div>
              </w:divsChild>
            </w:div>
            <w:div w:id="1879201834">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271325180">
      <w:bodyDiv w:val="1"/>
      <w:marLeft w:val="0"/>
      <w:marRight w:val="0"/>
      <w:marTop w:val="0"/>
      <w:marBottom w:val="0"/>
      <w:divBdr>
        <w:top w:val="none" w:sz="0" w:space="0" w:color="auto"/>
        <w:left w:val="none" w:sz="0" w:space="0" w:color="auto"/>
        <w:bottom w:val="none" w:sz="0" w:space="0" w:color="auto"/>
        <w:right w:val="none" w:sz="0" w:space="0" w:color="auto"/>
      </w:divBdr>
    </w:div>
    <w:div w:id="523830181">
      <w:marLeft w:val="0"/>
      <w:marRight w:val="0"/>
      <w:marTop w:val="0"/>
      <w:marBottom w:val="0"/>
      <w:divBdr>
        <w:top w:val="none" w:sz="0" w:space="0" w:color="auto"/>
        <w:left w:val="none" w:sz="0" w:space="0" w:color="auto"/>
        <w:bottom w:val="none" w:sz="0" w:space="0" w:color="auto"/>
        <w:right w:val="none" w:sz="0" w:space="0" w:color="auto"/>
      </w:divBdr>
    </w:div>
    <w:div w:id="710883760">
      <w:bodyDiv w:val="1"/>
      <w:marLeft w:val="0"/>
      <w:marRight w:val="0"/>
      <w:marTop w:val="0"/>
      <w:marBottom w:val="0"/>
      <w:divBdr>
        <w:top w:val="none" w:sz="0" w:space="0" w:color="auto"/>
        <w:left w:val="none" w:sz="0" w:space="0" w:color="auto"/>
        <w:bottom w:val="none" w:sz="0" w:space="0" w:color="auto"/>
        <w:right w:val="none" w:sz="0" w:space="0" w:color="auto"/>
      </w:divBdr>
    </w:div>
    <w:div w:id="1553079231">
      <w:bodyDiv w:val="1"/>
      <w:marLeft w:val="0"/>
      <w:marRight w:val="0"/>
      <w:marTop w:val="0"/>
      <w:marBottom w:val="0"/>
      <w:divBdr>
        <w:top w:val="none" w:sz="0" w:space="0" w:color="auto"/>
        <w:left w:val="none" w:sz="0" w:space="0" w:color="auto"/>
        <w:bottom w:val="none" w:sz="0" w:space="0" w:color="auto"/>
        <w:right w:val="none" w:sz="0" w:space="0" w:color="auto"/>
      </w:divBdr>
    </w:div>
    <w:div w:id="1622952640">
      <w:marLeft w:val="0"/>
      <w:marRight w:val="0"/>
      <w:marTop w:val="0"/>
      <w:marBottom w:val="0"/>
      <w:divBdr>
        <w:top w:val="none" w:sz="0" w:space="0" w:color="auto"/>
        <w:left w:val="none" w:sz="0" w:space="0" w:color="auto"/>
        <w:bottom w:val="none" w:sz="0" w:space="0" w:color="auto"/>
        <w:right w:val="none" w:sz="0" w:space="0" w:color="auto"/>
      </w:divBdr>
    </w:div>
    <w:div w:id="21433801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Wolock</dc:creator>
  <cp:keywords/>
  <dc:description/>
  <cp:lastModifiedBy>Charlie Wolock</cp:lastModifiedBy>
  <cp:revision>19</cp:revision>
  <dcterms:created xsi:type="dcterms:W3CDTF">2022-05-23T22:36:00Z</dcterms:created>
  <dcterms:modified xsi:type="dcterms:W3CDTF">2022-05-23T23:59:00Z</dcterms:modified>
</cp:coreProperties>
</file>