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F6E56"/>
          <w:sz w:val="72"/>
          <w:szCs w:val="72"/>
        </w:rPr>
        <w:t xml:space="preserve">AGENTIC RELATIONS</w:t>
      </w:r>
    </w:p>
    <w:p>
      <w:pPr>
        <w:spacing w:after="480" w:before="0"/>
        <w:jc w:val="center"/>
      </w:pPr>
      <w:r>
        <w:rPr>
          <w:rFonts w:ascii="Arial" w:cs="Arial" w:eastAsia="Arial" w:hAnsi="Arial"/>
          <w:color w:val="5F5E5A"/>
          <w:sz w:val="32"/>
          <w:szCs w:val="32"/>
        </w:rPr>
        <w:t xml:space="preserve">Definition, Framework, and Go-to-Market</w:t>
      </w:r>
    </w:p>
    <w:p>
      <w:pPr>
        <w:spacing w:after="1440" w:before="0"/>
        <w:jc w:val="center"/>
      </w:pPr>
      <w:r>
        <w:rPr>
          <w:rFonts w:ascii="Arial" w:cs="Arial" w:eastAsia="Arial" w:hAnsi="Arial"/>
          <w:i/>
          <w:iCs/>
          <w:color w:val="5F5E5A"/>
          <w:sz w:val="24"/>
          <w:szCs w:val="24"/>
        </w:rPr>
        <w:t xml:space="preserve">A working document for DevRel practitioners and the organizations that invest in them</w:t>
      </w:r>
    </w:p>
    <w:p>
      <w:pPr>
        <w:spacing w:after="80" w:before="0"/>
        <w:jc w:val="center"/>
      </w:pPr>
      <w:r>
        <w:rPr>
          <w:rFonts w:ascii="Arial" w:cs="Arial" w:eastAsia="Arial" w:hAnsi="Arial"/>
          <w:b/>
          <w:bCs/>
          <w:color w:val="1A1A18"/>
          <w:sz w:val="26"/>
          <w:szCs w:val="26"/>
        </w:rPr>
        <w:t xml:space="preserve">Chris Woodruff</w:t>
      </w:r>
    </w:p>
    <w:p>
      <w:pPr>
        <w:spacing w:after="80" w:before="0"/>
        <w:jc w:val="center"/>
      </w:pPr>
      <w:r>
        <w:rPr>
          <w:rFonts w:ascii="Arial" w:cs="Arial" w:eastAsia="Arial" w:hAnsi="Arial"/>
          <w:color w:val="5F5E5A"/>
          <w:sz w:val="22"/>
          <w:szCs w:val="22"/>
        </w:rPr>
        <w:t xml:space="preserve">Co-author, Developer Relations Activity Patterns</w:t>
      </w:r>
    </w:p>
    <w:p>
      <w:pPr>
        <w:spacing w:after="0" w:before="0"/>
        <w:jc w:val="center"/>
      </w:pPr>
      <w:r>
        <w:rPr>
          <w:rFonts w:ascii="Arial" w:cs="Arial" w:eastAsia="Arial" w:hAnsi="Arial"/>
          <w:color w:val="5F5E5A"/>
          <w:sz w:val="22"/>
          <w:szCs w:val="22"/>
        </w:rPr>
        <w:t xml:space="preserve">Founder, EcoSynt</w:t>
      </w:r>
    </w:p>
    <w:p>
      <w:pPr>
        <w:spacing w:after="0" w:before="0"/>
      </w:pPr>
      <w:r>
        <w:br w:type="page"/>
      </w:r>
    </w:p>
    <w:p>
      <w:pPr>
        <w:pStyle w:val="Heading1"/>
        <w:pBdr>
          <w:bottom w:val="single" w:color="0F6E56" w:sz="8" w:space="6"/>
        </w:pBdr>
        <w:spacing w:after="200" w:before="480"/>
      </w:pPr>
      <w:r>
        <w:rPr>
          <w:rFonts w:ascii="Arial" w:cs="Arial" w:eastAsia="Arial" w:hAnsi="Arial"/>
          <w:b/>
          <w:bCs/>
          <w:color w:val="0F6E56"/>
          <w:sz w:val="48"/>
          <w:szCs w:val="48"/>
        </w:rPr>
        <w:t xml:space="preserve">Part 1 — What Is Agentic Relations?</w:t>
      </w:r>
    </w:p>
    <w:p>
      <w:pPr>
        <w:pStyle w:val="Heading2"/>
        <w:spacing w:after="160" w:before="400"/>
      </w:pPr>
      <w:r>
        <w:rPr>
          <w:rFonts w:ascii="Arial" w:cs="Arial" w:eastAsia="Arial" w:hAnsi="Arial"/>
          <w:b/>
          <w:bCs/>
          <w:color w:val="1A1A18"/>
          <w:sz w:val="32"/>
          <w:szCs w:val="32"/>
        </w:rPr>
        <w:t xml:space="preserve">The Canonical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single" w:color="1D9E75" w:sz="12"/>
              <w:bottom w:val="single" w:color="1D9E75" w:sz="4"/>
              <w:right w:val="single" w:color="1D9E75" w:sz="4"/>
            </w:tcBorders>
            <w:shd w:fill="E1F5EE" w:val="clear"/>
            <w:tcMar>
              <w:top w:type="dxa" w:w="160"/>
              <w:left w:type="dxa" w:w="200"/>
              <w:bottom w:type="dxa" w:w="160"/>
              <w:right w:type="dxa" w:w="200"/>
            </w:tcMar>
          </w:tcPr>
          <w:p>
            <w:pPr>
              <w:spacing w:after="80" w:before="0"/>
            </w:pPr>
            <w:r>
              <w:rPr>
                <w:rFonts w:ascii="Arial" w:cs="Arial" w:eastAsia="Arial" w:hAnsi="Arial"/>
                <w:b/>
                <w:bCs/>
                <w:color w:val="0F6E56"/>
                <w:sz w:val="20"/>
                <w:szCs w:val="20"/>
              </w:rPr>
              <w:t xml:space="preserve">Agentic Relations (AR)</w:t>
            </w:r>
          </w:p>
          <w:p>
            <w:pPr>
              <w:spacing w:after="0" w:before="0"/>
            </w:pPr>
            <w:r>
              <w:rPr>
                <w:rFonts w:ascii="Arial" w:cs="Arial" w:eastAsia="Arial" w:hAnsi="Arial"/>
                <w:color w:val="2C2C2A"/>
                <w:sz w:val="22"/>
                <w:szCs w:val="22"/>
              </w:rPr>
              <w:t xml:space="preserve">The discipline within Developer Relations responsible for ensuring that AI coding agents and autonomous AI systems can successfully integrate with, consume, and represent a platform accurately — through deliberate cultivation of agent-consumable documentation, validated prompt recipes, machine-readable schemas, and the ongoing measurement of agent ecosystem health.</w:t>
            </w:r>
          </w:p>
        </w:tc>
      </w:tr>
    </w:tbl>
    <w:p>
      <w:pPr>
        <w:spacing w:after="120" w:before="0"/>
      </w:pPr>
      <w:r>
        <w:t xml:space="preserve"/>
      </w:r>
    </w:p>
    <w:p>
      <w:pPr>
        <w:spacing w:after="160" w:before="0"/>
        <w:jc w:val="left"/>
      </w:pPr>
      <w:r>
        <w:rPr>
          <w:rFonts w:ascii="Arial" w:cs="Arial" w:eastAsia="Arial" w:hAnsi="Arial"/>
          <w:b w:val="false"/>
          <w:bCs w:val="false"/>
          <w:i w:val="false"/>
          <w:iCs w:val="false"/>
          <w:color w:val="2C2C2A"/>
          <w:sz w:val="22"/>
          <w:szCs w:val="22"/>
        </w:rPr>
        <w:t xml:space="preserve">Agentic Relations does not replace Developer Relations. It is the next structural layer of the discipline — required because the audience for every developer platform now includes a non-human member: the AI coding agent that an increasing fraction of developers use to generate integration code before they write a single line themselves.</w:t>
      </w:r>
    </w:p>
    <w:p>
      <w:pPr>
        <w:spacing w:after="160" w:before="0"/>
        <w:jc w:val="left"/>
      </w:pPr>
      <w:r>
        <w:rPr>
          <w:rFonts w:ascii="Arial" w:cs="Arial" w:eastAsia="Arial" w:hAnsi="Arial"/>
          <w:b w:val="false"/>
          <w:bCs w:val="false"/>
          <w:i w:val="false"/>
          <w:iCs w:val="false"/>
          <w:color w:val="2C2C2A"/>
          <w:sz w:val="22"/>
          <w:szCs w:val="22"/>
        </w:rPr>
        <w:t xml:space="preserve">The question Agentic Relations exists to answer: when a developer asks an AI coding tool to integrate with your platform, what percentage of the time does the generated code work on the first attempt? Most DevRel programs today cannot answer this question. Agentic Relations is the discipline that makes it answerable — and then systematically improves it.</w:t>
      </w:r>
    </w:p>
    <w:p>
      <w:pPr>
        <w:spacing w:after="240" w:before="0"/>
      </w:pPr>
      <w:r>
        <w:t xml:space="preserve"/>
      </w:r>
    </w:p>
    <w:p>
      <w:pPr>
        <w:pStyle w:val="Heading2"/>
        <w:spacing w:after="160" w:before="400"/>
      </w:pPr>
      <w:r>
        <w:rPr>
          <w:rFonts w:ascii="Arial" w:cs="Arial" w:eastAsia="Arial" w:hAnsi="Arial"/>
          <w:b/>
          <w:bCs/>
          <w:color w:val="1A1A18"/>
          <w:sz w:val="32"/>
          <w:szCs w:val="32"/>
        </w:rPr>
        <w:t xml:space="preserve">The Core Insight: Two Audiences, One Platform</w:t>
      </w:r>
    </w:p>
    <w:p>
      <w:pPr>
        <w:spacing w:after="160" w:before="0"/>
        <w:jc w:val="left"/>
      </w:pPr>
      <w:r>
        <w:rPr>
          <w:rFonts w:ascii="Arial" w:cs="Arial" w:eastAsia="Arial" w:hAnsi="Arial"/>
          <w:b w:val="false"/>
          <w:bCs w:val="false"/>
          <w:i w:val="false"/>
          <w:iCs w:val="false"/>
          <w:color w:val="2C2C2A"/>
          <w:sz w:val="22"/>
          <w:szCs w:val="22"/>
        </w:rPr>
        <w:t xml:space="preserve">For fifty years, software was built for humans. Every timeout, rate limit, pagination scheme, auth flow, and documentation page was calibrated to the pace of a human reading and typing. That assumption is now broken.</w:t>
      </w:r>
    </w:p>
    <w:p>
      <w:pPr>
        <w:spacing w:after="160" w:before="0"/>
        <w:jc w:val="left"/>
      </w:pPr>
      <w:r>
        <w:rPr>
          <w:rFonts w:ascii="Arial" w:cs="Arial" w:eastAsia="Arial" w:hAnsi="Arial"/>
          <w:b w:val="false"/>
          <w:bCs w:val="false"/>
          <w:i w:val="false"/>
          <w:iCs w:val="false"/>
          <w:color w:val="2C2C2A"/>
          <w:sz w:val="22"/>
          <w:szCs w:val="22"/>
        </w:rPr>
        <w:t xml:space="preserve">AI agents run 10-50x faster than humans on reasoning tasks. But Jeff Dean observed at GTC that making a model infinitely fast would only yield a 2-3x end-to-end improvement. The other 47x is eaten by the tools, APIs, auth flows, and documentation those agents touch — all designed for human hands. This is Amdahl's Law applied to software development. Inference got fast. Everything inference touches did not.</w:t>
      </w:r>
    </w:p>
    <w:p>
      <w:pPr>
        <w:spacing w:after="160" w:before="0"/>
        <w:jc w:val="left"/>
      </w:pPr>
      <w:r>
        <w:rPr>
          <w:rFonts w:ascii="Arial" w:cs="Arial" w:eastAsia="Arial" w:hAnsi="Arial"/>
          <w:b w:val="false"/>
          <w:bCs w:val="false"/>
          <w:i w:val="false"/>
          <w:iCs w:val="false"/>
          <w:color w:val="2C2C2A"/>
          <w:sz w:val="22"/>
          <w:szCs w:val="22"/>
        </w:rPr>
        <w:t xml:space="preserve">DevRel sits at the interface between a platform and its developers. It is therefore at the interface between the current human-speed environment and the agent-native environment being built to replace it. Agentic Relations is the discipline of managing that interface deliberately, rather than discovering its failure modes reactively.</w:t>
      </w:r>
    </w:p>
    <w:p>
      <w:pPr>
        <w:spacing w:after="240" w:before="0"/>
      </w:pPr>
      <w:r>
        <w:t xml:space="preserve"/>
      </w:r>
    </w:p>
    <w:p>
      <w:pPr>
        <w:pStyle w:val="Heading2"/>
        <w:spacing w:after="160" w:before="400"/>
      </w:pPr>
      <w:r>
        <w:rPr>
          <w:rFonts w:ascii="Arial" w:cs="Arial" w:eastAsia="Arial" w:hAnsi="Arial"/>
          <w:b/>
          <w:bCs/>
          <w:color w:val="1A1A18"/>
          <w:sz w:val="32"/>
          <w:szCs w:val="32"/>
        </w:rPr>
        <w:t xml:space="preserve">The Three Principles of Agentic Relations</w:t>
      </w:r>
    </w:p>
    <w:p>
      <w:pPr>
        <w:pStyle w:val="Heading3"/>
        <w:spacing w:after="120" w:before="280"/>
      </w:pPr>
      <w:r>
        <w:rPr>
          <w:rFonts w:ascii="Arial" w:cs="Arial" w:eastAsia="Arial" w:hAnsi="Arial"/>
          <w:b/>
          <w:bCs/>
          <w:color w:val="0F6E56"/>
          <w:sz w:val="26"/>
          <w:szCs w:val="26"/>
        </w:rPr>
        <w:t xml:space="preserve">Principle 1 — The agent ecosystem is shaped by deliberate choices or by neglect</w:t>
      </w:r>
    </w:p>
    <w:p>
      <w:pPr>
        <w:spacing w:after="160" w:before="0"/>
        <w:jc w:val="left"/>
      </w:pPr>
      <w:r>
        <w:rPr>
          <w:rFonts w:ascii="Arial" w:cs="Arial" w:eastAsia="Arial" w:hAnsi="Arial"/>
          <w:b w:val="false"/>
          <w:bCs w:val="false"/>
          <w:i w:val="false"/>
          <w:iCs w:val="false"/>
          <w:color w:val="2C2C2A"/>
          <w:sz w:val="22"/>
          <w:szCs w:val="22"/>
        </w:rPr>
        <w:t xml:space="preserve">When a developer asks an AI coding tool to integrate with a platform, that tool draws on whatever is available: public documentation, GitHub code examples, Stack Overflow threads, any structured schemas or tool definitions published. That corpus is being shaped right now. The only question is whether it is being shaped intentionally.</w:t>
      </w:r>
    </w:p>
    <w:p>
      <w:pPr>
        <w:pStyle w:val="Heading3"/>
        <w:spacing w:after="120" w:before="280"/>
      </w:pPr>
      <w:r>
        <w:rPr>
          <w:rFonts w:ascii="Arial" w:cs="Arial" w:eastAsia="Arial" w:hAnsi="Arial"/>
          <w:b/>
          <w:bCs/>
          <w:color w:val="0F6E56"/>
          <w:sz w:val="26"/>
          <w:szCs w:val="26"/>
        </w:rPr>
        <w:t xml:space="preserve">Principle 2 — Agent failures are silent and systemic</w:t>
      </w:r>
    </w:p>
    <w:p>
      <w:pPr>
        <w:spacing w:after="160" w:before="0"/>
        <w:jc w:val="left"/>
      </w:pPr>
      <w:r>
        <w:rPr>
          <w:rFonts w:ascii="Arial" w:cs="Arial" w:eastAsia="Arial" w:hAnsi="Arial"/>
          <w:b w:val="false"/>
          <w:bCs w:val="false"/>
          <w:i w:val="false"/>
          <w:iCs w:val="false"/>
          <w:color w:val="2C2C2A"/>
          <w:sz w:val="22"/>
          <w:szCs w:val="22"/>
        </w:rPr>
        <w:t xml:space="preserve">A developer whose AI tool generates a broken integration may never post a support ticket, load a documentation page, or file a GitHub issue. They debug silently, or they move to a different platform. Traditional DevRel metrics — documentation traffic, forum activity, support volume — do not capture this. Agent ecosystem degradation is invisible to every dashboard the typical DevRel team runs.</w:t>
      </w:r>
    </w:p>
    <w:p>
      <w:pPr>
        <w:pStyle w:val="Heading3"/>
        <w:spacing w:after="120" w:before="280"/>
      </w:pPr>
      <w:r>
        <w:rPr>
          <w:rFonts w:ascii="Arial" w:cs="Arial" w:eastAsia="Arial" w:hAnsi="Arial"/>
          <w:b/>
          <w:bCs/>
          <w:color w:val="0F6E56"/>
          <w:sz w:val="26"/>
          <w:szCs w:val="26"/>
        </w:rPr>
        <w:t xml:space="preserve">Principle 3 — Encoded judgment is the moat</w:t>
      </w:r>
    </w:p>
    <w:p>
      <w:pPr>
        <w:spacing w:after="160" w:before="0"/>
        <w:jc w:val="left"/>
      </w:pPr>
      <w:r>
        <w:rPr>
          <w:rFonts w:ascii="Arial" w:cs="Arial" w:eastAsia="Arial" w:hAnsi="Arial"/>
          <w:b w:val="false"/>
          <w:bCs w:val="false"/>
          <w:i w:val="false"/>
          <w:iCs w:val="false"/>
          <w:color w:val="2C2C2A"/>
          <w:sz w:val="22"/>
          <w:szCs w:val="22"/>
        </w:rPr>
        <w:t xml:space="preserve">AI models are commodities. The same model is available to your platform and every competitor's platform. What is not commoditized is the encoded judgment about what a correct integration looks like: which error states need handling, which architectural patterns hold under load, which edge cases the documentation doesn't cover. That judgment, encoded into machine-accessible artifacts and maintained by practitioners with deep platform expertise, becomes institutional capital. It compounds. It does not walk out the door.</w:t>
      </w:r>
    </w:p>
    <w:p>
      <w:pPr>
        <w:spacing w:after="240" w:before="0"/>
      </w:pPr>
      <w:r>
        <w:t xml:space="preserve"/>
      </w:r>
    </w:p>
    <w:p>
      <w:pPr>
        <w:pStyle w:val="Heading2"/>
        <w:spacing w:after="160" w:before="400"/>
      </w:pPr>
      <w:r>
        <w:rPr>
          <w:rFonts w:ascii="Arial" w:cs="Arial" w:eastAsia="Arial" w:hAnsi="Arial"/>
          <w:b/>
          <w:bCs/>
          <w:color w:val="1A1A18"/>
          <w:sz w:val="32"/>
          <w:szCs w:val="32"/>
        </w:rPr>
        <w:t xml:space="preserve">The New Metric: First-Attempt Integration Success Rate</w:t>
      </w:r>
    </w:p>
    <w:p>
      <w:pPr>
        <w:spacing w:after="160" w:before="0"/>
        <w:jc w:val="left"/>
      </w:pPr>
      <w:r>
        <w:rPr>
          <w:rFonts w:ascii="Arial" w:cs="Arial" w:eastAsia="Arial" w:hAnsi="Arial"/>
          <w:b w:val="false"/>
          <w:bCs w:val="false"/>
          <w:i w:val="false"/>
          <w:iCs w:val="false"/>
          <w:color w:val="2C2C2A"/>
          <w:sz w:val="22"/>
          <w:szCs w:val="22"/>
        </w:rPr>
        <w:t xml:space="preserve">Traditional DevRel has always struggled with measurement. The field has produced proxies — community size, event attendance, content reach — but the question every executive actually wants answered is: does DevRel drive adoption? Agentic Relations produces a direct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12"/>
              <w:bottom w:val="single" w:color="3C3489" w:sz="4"/>
              <w:right w:val="single" w:color="3C3489" w:sz="4"/>
            </w:tcBorders>
            <w:shd w:fill="EEEDFE" w:val="clear"/>
            <w:tcMar>
              <w:top w:type="dxa" w:w="160"/>
              <w:left w:type="dxa" w:w="200"/>
              <w:bottom w:type="dxa" w:w="160"/>
              <w:right w:type="dxa" w:w="200"/>
            </w:tcMar>
          </w:tcPr>
          <w:p>
            <w:pPr>
              <w:spacing w:after="80" w:before="0"/>
            </w:pPr>
            <w:r>
              <w:rPr>
                <w:rFonts w:ascii="Arial" w:cs="Arial" w:eastAsia="Arial" w:hAnsi="Arial"/>
                <w:b/>
                <w:bCs/>
                <w:color w:val="0F6E56"/>
                <w:sz w:val="20"/>
                <w:szCs w:val="20"/>
              </w:rPr>
              <w:t xml:space="preserve">First-Attempt Integration Success Rate (FAISR)</w:t>
            </w:r>
          </w:p>
          <w:p>
            <w:pPr>
              <w:spacing w:after="0" w:before="0"/>
            </w:pPr>
            <w:r>
              <w:rPr>
                <w:rFonts w:ascii="Arial" w:cs="Arial" w:eastAsia="Arial" w:hAnsi="Arial"/>
                <w:color w:val="2C2C2A"/>
                <w:sz w:val="22"/>
                <w:szCs w:val="22"/>
              </w:rPr>
              <w:t xml:space="preserve">Of all integrations generated by AI coding tools using a platform's published materials as context, what percentage produce working code without manual correction on the first attempt? This metric is measurable through controlled testing, approximated through API log analysis, and validated through developer survey data. It is the primary health indicator for the agent ecosystem layer.</w:t>
            </w:r>
          </w:p>
        </w:tc>
      </w:tr>
    </w:tbl>
    <w:p>
      <w:pPr>
        <w:spacing w:after="240" w:before="0"/>
      </w:pPr>
      <w:r>
        <w:t xml:space="preserve"/>
      </w:r>
    </w:p>
    <w:p>
      <w:pPr>
        <w:pStyle w:val="Heading2"/>
        <w:spacing w:after="160" w:before="400"/>
      </w:pPr>
      <w:r>
        <w:rPr>
          <w:rFonts w:ascii="Arial" w:cs="Arial" w:eastAsia="Arial" w:hAnsi="Arial"/>
          <w:b/>
          <w:bCs/>
          <w:color w:val="1A1A18"/>
          <w:sz w:val="32"/>
          <w:szCs w:val="32"/>
        </w:rPr>
        <w:t xml:space="preserve">The Amdahl Ceiling: A New Strategic Lens</w:t>
      </w:r>
    </w:p>
    <w:p>
      <w:pPr>
        <w:spacing w:after="160" w:before="0"/>
        <w:jc w:val="left"/>
      </w:pPr>
      <w:r>
        <w:rPr>
          <w:rFonts w:ascii="Arial" w:cs="Arial" w:eastAsia="Arial" w:hAnsi="Arial"/>
          <w:b w:val="false"/>
          <w:bCs w:val="false"/>
          <w:i w:val="false"/>
          <w:iCs w:val="false"/>
          <w:color w:val="2C2C2A"/>
          <w:sz w:val="22"/>
          <w:szCs w:val="22"/>
        </w:rPr>
        <w:t xml:space="preserve">For each integration task on a platform, the Amdahl ceiling is the maximum improvement that AI assistance can deliver, given the fraction of time spent on tool interaction versus model reasoning. A platform where 80% of integration time is slow API calls, human-speed auth flows, and ambiguous documentation retrieval has a ceiling of approximately 5x improvement regardless of how capable the underlying AI model becomes.</w:t>
      </w:r>
    </w:p>
    <w:p>
      <w:pPr>
        <w:spacing w:after="160" w:before="0"/>
        <w:jc w:val="left"/>
      </w:pPr>
      <w:r>
        <w:rPr>
          <w:rFonts w:ascii="Arial" w:cs="Arial" w:eastAsia="Arial" w:hAnsi="Arial"/>
          <w:b w:val="false"/>
          <w:bCs w:val="false"/>
          <w:i w:val="false"/>
          <w:iCs w:val="false"/>
          <w:color w:val="2C2C2A"/>
          <w:sz w:val="22"/>
          <w:szCs w:val="22"/>
        </w:rPr>
        <w:t xml:space="preserve">DevRel's role in raising that ceiling: identify where the ceiling is binding, make it visible to the platform engineering team, and build the interim artifacts — structured schemas, semantic documentation, validated recipes — that lower the agent tax while deeper platform investment follows.</w:t>
      </w:r>
    </w:p>
    <w:p>
      <w:pPr>
        <w:spacing w:after="0" w:before="0"/>
      </w:pPr>
      <w:r>
        <w:br w:type="page"/>
      </w:r>
    </w:p>
    <w:p>
      <w:pPr>
        <w:pStyle w:val="Heading1"/>
        <w:pBdr>
          <w:bottom w:val="single" w:color="0F6E56" w:sz="8" w:space="6"/>
        </w:pBdr>
        <w:spacing w:after="200" w:before="480"/>
      </w:pPr>
      <w:r>
        <w:rPr>
          <w:rFonts w:ascii="Arial" w:cs="Arial" w:eastAsia="Arial" w:hAnsi="Arial"/>
          <w:b/>
          <w:bCs/>
          <w:color w:val="0F6E56"/>
          <w:sz w:val="48"/>
          <w:szCs w:val="48"/>
        </w:rPr>
        <w:t xml:space="preserve">Part 2 — How Agentic Relations Works With Traditional DevRel</w:t>
      </w:r>
    </w:p>
    <w:p>
      <w:pPr>
        <w:pStyle w:val="Heading2"/>
        <w:spacing w:after="160" w:before="400"/>
      </w:pPr>
      <w:r>
        <w:rPr>
          <w:rFonts w:ascii="Arial" w:cs="Arial" w:eastAsia="Arial" w:hAnsi="Arial"/>
          <w:b/>
          <w:bCs/>
          <w:color w:val="1A1A18"/>
          <w:sz w:val="32"/>
          <w:szCs w:val="32"/>
        </w:rPr>
        <w:t xml:space="preserve">The Fundamental Triad, Extended</w:t>
      </w:r>
    </w:p>
    <w:p>
      <w:pPr>
        <w:spacing w:after="160" w:before="0"/>
        <w:jc w:val="left"/>
      </w:pPr>
      <w:r>
        <w:rPr>
          <w:rFonts w:ascii="Arial" w:cs="Arial" w:eastAsia="Arial" w:hAnsi="Arial"/>
          <w:b w:val="false"/>
          <w:bCs w:val="false"/>
          <w:i w:val="false"/>
          <w:iCs w:val="false"/>
          <w:color w:val="2C2C2A"/>
          <w:sz w:val="22"/>
          <w:szCs w:val="22"/>
        </w:rPr>
        <w:t xml:space="preserve">The Fundamental Triad from Developer Relations Activity Patterns — Community, Company, Customer — does not change. Agentic Relations adds a parallel layer beneath each vertex, serving a different sub-constituency on different physics.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3D1C7" w:sz="1"/>
              <w:left w:val="single" w:color="D3D1C7" w:sz="1"/>
              <w:bottom w:val="single" w:color="D3D1C7" w:sz="1"/>
              <w:right w:val="single" w:color="D3D1C7" w:sz="1"/>
            </w:tcBorders>
            <w:shd w:fill="0F6E56"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Triad Vertex</w:t>
            </w:r>
          </w:p>
        </w:tc>
        <w:tc>
          <w:tcPr>
            <w:tcW w:type="dxa" w:w="3380"/>
            <w:tcBorders>
              <w:top w:val="single" w:color="D3D1C7" w:sz="1"/>
              <w:left w:val="single" w:color="D3D1C7" w:sz="1"/>
              <w:bottom w:val="single" w:color="D3D1C7" w:sz="1"/>
              <w:right w:val="single" w:color="D3D1C7" w:sz="1"/>
            </w:tcBorders>
            <w:shd w:fill="3C3489"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Traditional DevRel Layer</w:t>
            </w:r>
          </w:p>
        </w:tc>
        <w:tc>
          <w:tcPr>
            <w:tcW w:type="dxa" w:w="3380"/>
            <w:tcBorders>
              <w:top w:val="single" w:color="D3D1C7" w:sz="1"/>
              <w:left w:val="single" w:color="D3D1C7" w:sz="1"/>
              <w:bottom w:val="single" w:color="D3D1C7" w:sz="1"/>
              <w:right w:val="single" w:color="D3D1C7" w:sz="1"/>
            </w:tcBorders>
            <w:shd w:fill="854F0B"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Agentic Relations Layer</w:t>
            </w:r>
          </w:p>
        </w:tc>
      </w:tr>
      <w:tr>
        <w:tc>
          <w:tcPr>
            <w:tcW w:type="dxa" w:w="2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Community</w:t>
            </w:r>
          </w:p>
        </w:tc>
        <w:tc>
          <w:tcPr>
            <w:tcW w:type="dxa" w:w="33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Human developers: trust through relationship, reputation, shared identity, event presence</w:t>
            </w:r>
          </w:p>
        </w:tc>
        <w:tc>
          <w:tcPr>
            <w:tcW w:type="dxa" w:w="33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Agent ecosystem: pattern-matching against a corpus of recipes, schemas, and structured documentation</w:t>
            </w:r>
          </w:p>
        </w:tc>
      </w:tr>
      <w:tr>
        <w:tc>
          <w:tcPr>
            <w:tcW w:type="dxa" w:w="2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Company</w:t>
            </w:r>
          </w:p>
        </w:tc>
        <w:tc>
          <w:tcPr>
            <w:tcW w:type="dxa" w:w="33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Human feedback loops: support tickets, forum activity, survey responses, event conversations</w:t>
            </w:r>
          </w:p>
        </w:tc>
        <w:tc>
          <w:tcPr>
            <w:tcW w:type="dxa" w:w="33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Agent feedback loops: API error log analysis, first-attempt success rate, Amdahl ceiling measurement</w:t>
            </w:r>
          </w:p>
        </w:tc>
      </w:tr>
      <w:tr>
        <w:tc>
          <w:tcPr>
            <w:tcW w:type="dxa" w:w="2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Customer</w:t>
            </w:r>
          </w:p>
        </w:tc>
        <w:tc>
          <w:tcPr>
            <w:tcW w:type="dxa" w:w="33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Human buyer evaluates via PoC, reference calls, trial use</w:t>
            </w:r>
          </w:p>
        </w:tc>
        <w:tc>
          <w:tcPr>
            <w:tcW w:type="dxa" w:w="33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AI-assisted buyer evaluates via agent-generated PoC; platform that produces working integrations wins the evaluation</w:t>
            </w:r>
          </w:p>
        </w:tc>
      </w:tr>
    </w:tbl>
    <w:p>
      <w:pPr>
        <w:spacing w:after="320" w:before="0"/>
      </w:pPr>
      <w:r>
        <w:t xml:space="preserve"/>
      </w:r>
    </w:p>
    <w:p>
      <w:pPr>
        <w:pStyle w:val="Heading2"/>
        <w:spacing w:after="160" w:before="400"/>
      </w:pPr>
      <w:r>
        <w:rPr>
          <w:rFonts w:ascii="Arial" w:cs="Arial" w:eastAsia="Arial" w:hAnsi="Arial"/>
          <w:b/>
          <w:bCs/>
          <w:color w:val="1A1A18"/>
          <w:sz w:val="32"/>
          <w:szCs w:val="32"/>
        </w:rPr>
        <w:t xml:space="preserve">What Changes, What Stays the Same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0F6E56" w:val="clear"/>
            <w:tcMar>
              <w:top w:type="dxa" w:w="120"/>
              <w:left w:type="dxa" w:w="140"/>
              <w:bottom w:type="dxa" w:w="120"/>
              <w:right w:type="dxa" w:w="140"/>
            </w:tcMar>
          </w:tcPr>
          <w:p>
            <w:pPr>
              <w:spacing w:after="0" w:before="0"/>
            </w:pPr>
            <w:r>
              <w:rPr>
                <w:rFonts w:ascii="Arial" w:cs="Arial" w:eastAsia="Arial" w:hAnsi="Arial"/>
                <w:b/>
                <w:bCs/>
                <w:color w:val="FFFFFF"/>
                <w:sz w:val="22"/>
                <w:szCs w:val="22"/>
              </w:rPr>
              <w:t xml:space="preserve">Traditional DevRel — unchanged</w:t>
            </w:r>
          </w:p>
        </w:tc>
        <w:tc>
          <w:tcPr>
            <w:tcW w:type="dxa" w:w="4680"/>
            <w:tcBorders>
              <w:top w:val="single" w:color="D3D1C7" w:sz="1"/>
              <w:left w:val="single" w:color="D3D1C7" w:sz="1"/>
              <w:bottom w:val="single" w:color="D3D1C7" w:sz="1"/>
              <w:right w:val="single" w:color="D3D1C7" w:sz="1"/>
            </w:tcBorders>
            <w:shd w:fill="3C3489" w:val="clear"/>
            <w:tcMar>
              <w:top w:type="dxa" w:w="120"/>
              <w:left w:type="dxa" w:w="140"/>
              <w:bottom w:type="dxa" w:w="120"/>
              <w:right w:type="dxa" w:w="140"/>
            </w:tcMar>
          </w:tcPr>
          <w:p>
            <w:pPr>
              <w:spacing w:after="0" w:before="0"/>
            </w:pPr>
            <w:r>
              <w:rPr>
                <w:rFonts w:ascii="Arial" w:cs="Arial" w:eastAsia="Arial" w:hAnsi="Arial"/>
                <w:b/>
                <w:bCs/>
                <w:color w:val="FFFFFF"/>
                <w:sz w:val="22"/>
                <w:szCs w:val="22"/>
              </w:rPr>
              <w:t xml:space="preserve">Agentic Relations — new layer required</w:t>
            </w:r>
          </w:p>
        </w:tc>
      </w:tr>
      <w:tr>
        <w:tc>
          <w:tcPr>
            <w:tcW w:type="dxa" w:w="468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Human community remains the primary trust mechanism</w:t>
            </w:r>
          </w:p>
        </w:tc>
        <w:tc>
          <w:tcPr>
            <w:tcW w:type="dxa" w:w="46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Agent ecosystem operates on corpus quality, not relationship</w:t>
            </w:r>
          </w:p>
        </w:tc>
      </w:tr>
      <w:tr>
        <w:tc>
          <w:tcPr>
            <w:tcW w:type="dxa" w:w="46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Ambassadors earn trust through authentic voice and presence</w:t>
            </w:r>
          </w:p>
        </w:tc>
        <w:tc>
          <w:tcPr>
            <w:tcW w:type="dxa" w:w="46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Agent Champions earn relevance through validated configurations</w:t>
            </w:r>
          </w:p>
        </w:tc>
      </w:tr>
      <w:tr>
        <w:tc>
          <w:tcPr>
            <w:tcW w:type="dxa" w:w="468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Documentation written for human navigation and comprehension</w:t>
            </w:r>
          </w:p>
        </w:tc>
        <w:tc>
          <w:tcPr>
            <w:tcW w:type="dxa" w:w="46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Documentation must also serve agent retrieval and semantic precision</w:t>
            </w:r>
          </w:p>
        </w:tc>
      </w:tr>
      <w:tr>
        <w:tc>
          <w:tcPr>
            <w:tcW w:type="dxa" w:w="46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SDK designed for developer ergonomics and readability</w:t>
            </w:r>
          </w:p>
        </w:tc>
        <w:tc>
          <w:tcPr>
            <w:tcW w:type="dxa" w:w="46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SDK also needs agent-parseable error models and structured schemas</w:t>
            </w:r>
          </w:p>
        </w:tc>
      </w:tr>
      <w:tr>
        <w:tc>
          <w:tcPr>
            <w:tcW w:type="dxa" w:w="468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Forum answers human questions from human developers</w:t>
            </w:r>
          </w:p>
        </w:tc>
        <w:tc>
          <w:tcPr>
            <w:tcW w:type="dxa" w:w="46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Recipe library answers agent queries through structured prompts</w:t>
            </w:r>
          </w:p>
        </w:tc>
      </w:tr>
      <w:tr>
        <w:tc>
          <w:tcPr>
            <w:tcW w:type="dxa" w:w="46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Hackathon evaluates human creativity and execution</w:t>
            </w:r>
          </w:p>
        </w:tc>
        <w:tc>
          <w:tcPr>
            <w:tcW w:type="dxa" w:w="46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Agentic Hackathon evaluates human-AI direction quality and robustness</w:t>
            </w:r>
          </w:p>
        </w:tc>
      </w:tr>
      <w:tr>
        <w:tc>
          <w:tcPr>
            <w:tcW w:type="dxa" w:w="468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Metrics: reach, engagement, community health, NPS</w:t>
            </w:r>
          </w:p>
        </w:tc>
        <w:tc>
          <w:tcPr>
            <w:tcW w:type="dxa" w:w="46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Metrics: FAISR, Amdahl ceiling, recipe freshness, MCP adoption tier</w:t>
            </w:r>
          </w:p>
        </w:tc>
      </w:tr>
      <w:tr>
        <w:tc>
          <w:tcPr>
            <w:tcW w:type="dxa" w:w="46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Human community patterns remain most AI-resistant layer</w:t>
            </w:r>
          </w:p>
        </w:tc>
        <w:tc>
          <w:tcPr>
            <w:tcW w:type="dxa" w:w="46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Agent ecosystem layer is where AI-assisted development wins or loses</w:t>
            </w:r>
          </w:p>
        </w:tc>
      </w:tr>
    </w:tbl>
    <w:p>
      <w:pPr>
        <w:spacing w:after="320" w:before="0"/>
      </w:pPr>
      <w:r>
        <w:t xml:space="preserve"/>
      </w:r>
    </w:p>
    <w:p>
      <w:pPr>
        <w:pStyle w:val="Heading2"/>
        <w:spacing w:after="160" w:before="400"/>
      </w:pPr>
      <w:r>
        <w:rPr>
          <w:rFonts w:ascii="Arial" w:cs="Arial" w:eastAsia="Arial" w:hAnsi="Arial"/>
          <w:b/>
          <w:bCs/>
          <w:color w:val="1A1A18"/>
          <w:sz w:val="32"/>
          <w:szCs w:val="32"/>
        </w:rPr>
        <w:t xml:space="preserve">The 37 Patterns: How They Bifurcate</w:t>
      </w:r>
    </w:p>
    <w:p>
      <w:pPr>
        <w:spacing w:after="160" w:before="0"/>
        <w:jc w:val="left"/>
      </w:pPr>
      <w:r>
        <w:rPr>
          <w:rFonts w:ascii="Arial" w:cs="Arial" w:eastAsia="Arial" w:hAnsi="Arial"/>
          <w:b w:val="false"/>
          <w:bCs w:val="false"/>
          <w:i w:val="false"/>
          <w:iCs w:val="false"/>
          <w:color w:val="2C2C2A"/>
          <w:sz w:val="22"/>
          <w:szCs w:val="22"/>
        </w:rPr>
        <w:t xml:space="preserve">Every activity pattern in Developer Relations Activity Patterns now has two variants: a human-facing version, largely unchanged, and an agent-facing version that requires different design, different metrics, and in some cases different practitioners.</w:t>
      </w:r>
    </w:p>
    <w:p>
      <w:pPr>
        <w:spacing w:after="120" w:before="0"/>
      </w:pPr>
      <w:r>
        <w:t xml:space="preserve"/>
      </w:r>
    </w:p>
    <w:p>
      <w:pPr>
        <w:pStyle w:val="Heading3"/>
        <w:spacing w:after="120" w:before="280"/>
      </w:pPr>
      <w:r>
        <w:rPr>
          <w:rFonts w:ascii="Arial" w:cs="Arial" w:eastAsia="Arial" w:hAnsi="Arial"/>
          <w:b/>
          <w:bCs/>
          <w:color w:val="0F6E56"/>
          <w:sz w:val="26"/>
          <w:szCs w:val="26"/>
        </w:rPr>
        <w:t xml:space="preserve">Patterns that gain an agent-facing layer without losing their human purpose</w:t>
      </w:r>
    </w:p>
    <w:p>
      <w:pPr>
        <w:pStyle w:val="ListParagraph"/>
        <w:numPr>
          <w:ilvl w:val="0"/>
          <w:numId w:val="2"/>
        </w:numPr>
        <w:spacing w:after="120" w:before="0"/>
      </w:pPr>
      <w:r>
        <w:rPr>
          <w:rFonts w:ascii="Arial" w:cs="Arial" w:eastAsia="Arial" w:hAnsi="Arial"/>
          <w:b w:val="false"/>
          <w:bCs w:val="false"/>
          <w:color w:val="2C2C2A"/>
          <w:sz w:val="22"/>
          <w:szCs w:val="22"/>
        </w:rPr>
        <w:t xml:space="preserve">Reference Documentation: human navigation layer plus machine-parseable retrieval layer, with semantic precision and explicit error taxonomy</w:t>
      </w:r>
    </w:p>
    <w:p>
      <w:pPr>
        <w:pStyle w:val="ListParagraph"/>
        <w:numPr>
          <w:ilvl w:val="0"/>
          <w:numId w:val="2"/>
        </w:numPr>
        <w:spacing w:after="120" w:before="0"/>
      </w:pPr>
      <w:r>
        <w:rPr>
          <w:rFonts w:ascii="Arial" w:cs="Arial" w:eastAsia="Arial" w:hAnsi="Arial"/>
          <w:b w:val="false"/>
          <w:bCs w:val="false"/>
          <w:color w:val="2C2C2A"/>
          <w:sz w:val="22"/>
          <w:szCs w:val="22"/>
        </w:rPr>
        <w:t xml:space="preserve">SDK: developer ergonomics plus agent-parseable schemas, structured error models, and MCP server definitions</w:t>
      </w:r>
    </w:p>
    <w:p>
      <w:pPr>
        <w:pStyle w:val="ListParagraph"/>
        <w:numPr>
          <w:ilvl w:val="0"/>
          <w:numId w:val="2"/>
        </w:numPr>
        <w:spacing w:after="120" w:before="0"/>
      </w:pPr>
      <w:r>
        <w:rPr>
          <w:rFonts w:ascii="Arial" w:cs="Arial" w:eastAsia="Arial" w:hAnsi="Arial"/>
          <w:b w:val="false"/>
          <w:bCs w:val="false"/>
          <w:color w:val="2C2C2A"/>
          <w:sz w:val="22"/>
          <w:szCs w:val="22"/>
        </w:rPr>
        <w:t xml:space="preserve">Sample/Example: human-readable tutorials plus validated prompt recipes that produce correct agent-generated integrations</w:t>
      </w:r>
    </w:p>
    <w:p>
      <w:pPr>
        <w:pStyle w:val="ListParagraph"/>
        <w:numPr>
          <w:ilvl w:val="0"/>
          <w:numId w:val="2"/>
        </w:numPr>
        <w:spacing w:after="120" w:before="0"/>
      </w:pPr>
      <w:r>
        <w:rPr>
          <w:rFonts w:ascii="Arial" w:cs="Arial" w:eastAsia="Arial" w:hAnsi="Arial"/>
          <w:b w:val="false"/>
          <w:bCs w:val="false"/>
          <w:color w:val="2C2C2A"/>
          <w:sz w:val="22"/>
          <w:szCs w:val="22"/>
        </w:rPr>
        <w:t xml:space="preserve">Forum: human Q&amp;A threads plus community recipe sharing for agent configurations</w:t>
      </w:r>
    </w:p>
    <w:p>
      <w:pPr>
        <w:pStyle w:val="ListParagraph"/>
        <w:numPr>
          <w:ilvl w:val="0"/>
          <w:numId w:val="2"/>
        </w:numPr>
        <w:spacing w:after="120" w:before="0"/>
      </w:pPr>
      <w:r>
        <w:rPr>
          <w:rFonts w:ascii="Arial" w:cs="Arial" w:eastAsia="Arial" w:hAnsi="Arial"/>
          <w:b w:val="false"/>
          <w:bCs w:val="false"/>
          <w:color w:val="2C2C2A"/>
          <w:sz w:val="22"/>
          <w:szCs w:val="22"/>
        </w:rPr>
        <w:t xml:space="preserve">Open-Source Project: code the human reads plus schemas the agent consumes</w:t>
      </w:r>
    </w:p>
    <w:p>
      <w:pPr>
        <w:spacing w:after="160" w:before="0"/>
      </w:pPr>
      <w:r>
        <w:t xml:space="preserve"/>
      </w:r>
    </w:p>
    <w:p>
      <w:pPr>
        <w:pStyle w:val="Heading3"/>
        <w:spacing w:after="120" w:before="280"/>
      </w:pPr>
      <w:r>
        <w:rPr>
          <w:rFonts w:ascii="Arial" w:cs="Arial" w:eastAsia="Arial" w:hAnsi="Arial"/>
          <w:b/>
          <w:bCs/>
          <w:color w:val="0F6E56"/>
          <w:sz w:val="26"/>
          <w:szCs w:val="26"/>
        </w:rPr>
        <w:t xml:space="preserve">Patterns that require substantive rewriting for the agentic context</w:t>
      </w:r>
    </w:p>
    <w:p>
      <w:pPr>
        <w:pStyle w:val="ListParagraph"/>
        <w:numPr>
          <w:ilvl w:val="0"/>
          <w:numId w:val="2"/>
        </w:numPr>
        <w:spacing w:after="120" w:before="0"/>
      </w:pPr>
      <w:r>
        <w:rPr>
          <w:rFonts w:ascii="Arial" w:cs="Arial" w:eastAsia="Arial" w:hAnsi="Arial"/>
          <w:b w:val="false"/>
          <w:bCs w:val="false"/>
          <w:color w:val="2C2C2A"/>
          <w:sz w:val="22"/>
          <w:szCs w:val="22"/>
        </w:rPr>
        <w:t xml:space="preserve">Ambassadors → Agent Champions: different role, different skills, different metrics, same underlying function</w:t>
      </w:r>
    </w:p>
    <w:p>
      <w:pPr>
        <w:pStyle w:val="ListParagraph"/>
        <w:numPr>
          <w:ilvl w:val="0"/>
          <w:numId w:val="2"/>
        </w:numPr>
        <w:spacing w:after="120" w:before="0"/>
      </w:pPr>
      <w:r>
        <w:rPr>
          <w:rFonts w:ascii="Arial" w:cs="Arial" w:eastAsia="Arial" w:hAnsi="Arial"/>
          <w:b w:val="false"/>
          <w:bCs w:val="false"/>
          <w:color w:val="2C2C2A"/>
          <w:sz w:val="22"/>
          <w:szCs w:val="22"/>
        </w:rPr>
        <w:t xml:space="preserve">Hackathon → Agentic Hackathon: evaluates direction quality not build execution; produces recipes not just demos</w:t>
      </w:r>
    </w:p>
    <w:p>
      <w:pPr>
        <w:pStyle w:val="ListParagraph"/>
        <w:numPr>
          <w:ilvl w:val="0"/>
          <w:numId w:val="2"/>
        </w:numPr>
        <w:spacing w:after="120" w:before="0"/>
      </w:pPr>
      <w:r>
        <w:rPr>
          <w:rFonts w:ascii="Arial" w:cs="Arial" w:eastAsia="Arial" w:hAnsi="Arial"/>
          <w:b w:val="false"/>
          <w:bCs w:val="false"/>
          <w:color w:val="2C2C2A"/>
          <w:sz w:val="22"/>
          <w:szCs w:val="22"/>
        </w:rPr>
        <w:t xml:space="preserve">Office Hours → Integration Debug Sessions: practitioners diagnose agent-generated code, not human-written code</w:t>
      </w:r>
    </w:p>
    <w:p>
      <w:pPr>
        <w:pStyle w:val="ListParagraph"/>
        <w:numPr>
          <w:ilvl w:val="0"/>
          <w:numId w:val="2"/>
        </w:numPr>
        <w:spacing w:after="120" w:before="0"/>
      </w:pPr>
      <w:r>
        <w:rPr>
          <w:rFonts w:ascii="Arial" w:cs="Arial" w:eastAsia="Arial" w:hAnsi="Arial"/>
          <w:b w:val="false"/>
          <w:bCs w:val="false"/>
          <w:color w:val="2C2C2A"/>
          <w:sz w:val="22"/>
          <w:szCs w:val="22"/>
        </w:rPr>
        <w:t xml:space="preserve">Training → Agent Direction Training: teaches developers how to direct AI tools effectively, not just use APIs</w:t>
      </w:r>
    </w:p>
    <w:p>
      <w:pPr>
        <w:spacing w:after="160" w:before="0"/>
      </w:pPr>
      <w:r>
        <w:t xml:space="preserve"/>
      </w:r>
    </w:p>
    <w:p>
      <w:pPr>
        <w:pStyle w:val="Heading3"/>
        <w:spacing w:after="120" w:before="280"/>
      </w:pPr>
      <w:r>
        <w:rPr>
          <w:rFonts w:ascii="Arial" w:cs="Arial" w:eastAsia="Arial" w:hAnsi="Arial"/>
          <w:b/>
          <w:bCs/>
          <w:color w:val="0F6E56"/>
          <w:sz w:val="26"/>
          <w:szCs w:val="26"/>
        </w:rPr>
        <w:t xml:space="preserve">Patterns that remain purely human and grow more valuable as AI proliferates</w:t>
      </w:r>
    </w:p>
    <w:p>
      <w:pPr>
        <w:pStyle w:val="ListParagraph"/>
        <w:numPr>
          <w:ilvl w:val="0"/>
          <w:numId w:val="2"/>
        </w:numPr>
        <w:spacing w:after="120" w:before="0"/>
      </w:pPr>
      <w:r>
        <w:rPr>
          <w:rFonts w:ascii="Arial" w:cs="Arial" w:eastAsia="Arial" w:hAnsi="Arial"/>
          <w:b w:val="false"/>
          <w:bCs w:val="false"/>
          <w:color w:val="2C2C2A"/>
          <w:sz w:val="22"/>
          <w:szCs w:val="22"/>
        </w:rPr>
        <w:t xml:space="preserve">Conference, Conference Session: genuine human presence becomes scarcer signal as AI floods content channels</w:t>
      </w:r>
    </w:p>
    <w:p>
      <w:pPr>
        <w:pStyle w:val="ListParagraph"/>
        <w:numPr>
          <w:ilvl w:val="0"/>
          <w:numId w:val="2"/>
        </w:numPr>
        <w:spacing w:after="120" w:before="0"/>
      </w:pPr>
      <w:r>
        <w:rPr>
          <w:rFonts w:ascii="Arial" w:cs="Arial" w:eastAsia="Arial" w:hAnsi="Arial"/>
          <w:b w:val="false"/>
          <w:bCs w:val="false"/>
          <w:color w:val="2C2C2A"/>
          <w:sz w:val="22"/>
          <w:szCs w:val="22"/>
        </w:rPr>
        <w:t xml:space="preserve">User Group Network, Parties: irreplaceable community trust mechanisms; AI cannot replicate them</w:t>
      </w:r>
    </w:p>
    <w:p>
      <w:pPr>
        <w:pStyle w:val="ListParagraph"/>
        <w:numPr>
          <w:ilvl w:val="0"/>
          <w:numId w:val="2"/>
        </w:numPr>
        <w:spacing w:after="120" w:before="0"/>
      </w:pPr>
      <w:r>
        <w:rPr>
          <w:rFonts w:ascii="Arial" w:cs="Arial" w:eastAsia="Arial" w:hAnsi="Arial"/>
          <w:b w:val="false"/>
          <w:bCs w:val="false"/>
          <w:color w:val="2C2C2A"/>
          <w:sz w:val="22"/>
          <w:szCs w:val="22"/>
        </w:rPr>
        <w:t xml:space="preserve">Live Streaming with real interaction: real-time human authenticity is the scarcest resource in an AI content environment</w:t>
      </w:r>
    </w:p>
    <w:p>
      <w:pPr>
        <w:spacing w:after="320" w:before="0"/>
      </w:pPr>
      <w:r>
        <w:t xml:space="preserve"/>
      </w:r>
    </w:p>
    <w:p>
      <w:pPr>
        <w:pStyle w:val="Heading2"/>
        <w:spacing w:after="160" w:before="400"/>
      </w:pPr>
      <w:r>
        <w:rPr>
          <w:rFonts w:ascii="Arial" w:cs="Arial" w:eastAsia="Arial" w:hAnsi="Arial"/>
          <w:b/>
          <w:bCs/>
          <w:color w:val="1A1A18"/>
          <w:sz w:val="32"/>
          <w:szCs w:val="32"/>
        </w:rPr>
        <w:t xml:space="preserve">The Three New Roles Agentic Relations Requires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D3D1C7" w:sz="1"/>
              <w:left w:val="single" w:color="D3D1C7" w:sz="1"/>
              <w:bottom w:val="single" w:color="D3D1C7" w:sz="1"/>
              <w:right w:val="single" w:color="D3D1C7" w:sz="1"/>
            </w:tcBorders>
            <w:shd w:fill="0F6E56"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Role</w:t>
            </w:r>
          </w:p>
        </w:tc>
        <w:tc>
          <w:tcPr>
            <w:tcW w:type="dxa" w:w="3780"/>
            <w:tcBorders>
              <w:top w:val="single" w:color="D3D1C7" w:sz="1"/>
              <w:left w:val="single" w:color="D3D1C7" w:sz="1"/>
              <w:bottom w:val="single" w:color="D3D1C7" w:sz="1"/>
              <w:right w:val="single" w:color="D3D1C7" w:sz="1"/>
            </w:tcBorders>
            <w:shd w:fill="3C3489"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What they do</w:t>
            </w:r>
          </w:p>
        </w:tc>
        <w:tc>
          <w:tcPr>
            <w:tcW w:type="dxa" w:w="3380"/>
            <w:tcBorders>
              <w:top w:val="single" w:color="D3D1C7" w:sz="1"/>
              <w:left w:val="single" w:color="D3D1C7" w:sz="1"/>
              <w:bottom w:val="single" w:color="D3D1C7" w:sz="1"/>
              <w:right w:val="single" w:color="D3D1C7" w:sz="1"/>
            </w:tcBorders>
            <w:shd w:fill="854F0B"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Who they are today</w:t>
            </w:r>
          </w:p>
        </w:tc>
      </w:tr>
      <w:tr>
        <w:tc>
          <w:tcPr>
            <w:tcW w:type="dxa" w:w="22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Agent Champion</w:t>
            </w:r>
          </w:p>
        </w:tc>
        <w:tc>
          <w:tcPr>
            <w:tcW w:type="dxa" w:w="37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Monitors agent integration success rates. Maintains recipe library. Feeds failures back to engineering. Measures Amdahl ceiling.</w:t>
            </w:r>
          </w:p>
        </w:tc>
        <w:tc>
          <w:tcPr>
            <w:tcW w:type="dxa" w:w="33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Does not yet exist as a named role. Scattered across DevRel teams as an underfunded side project.</w:t>
            </w:r>
          </w:p>
        </w:tc>
      </w:tr>
      <w:tr>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Documentation Architect (agent consumption)</w:t>
            </w:r>
          </w:p>
        </w:tc>
        <w:tc>
          <w:tcPr>
            <w:tcW w:type="dxa" w:w="37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Optimizes documentation for machine retrieval, not human navigation. Thinks in semantic precision, chunking strategy, and RAG accuracy.</w:t>
            </w:r>
          </w:p>
        </w:tc>
        <w:tc>
          <w:tcPr>
            <w:tcW w:type="dxa" w:w="33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Technical writers with AI tool knowledge, or ML engineers with documentation instincts. The combination is rare.</w:t>
            </w:r>
          </w:p>
        </w:tc>
      </w:tr>
      <w:tr>
        <w:tc>
          <w:tcPr>
            <w:tcW w:type="dxa" w:w="22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API Experience Designer</w:t>
            </w:r>
          </w:p>
        </w:tc>
        <w:tc>
          <w:tcPr>
            <w:tcW w:type="dxa" w:w="37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Audits API surface for agent-parseability. Influences error model, auth flow, and rate limit design. Argues for agent-native investment.</w:t>
            </w:r>
          </w:p>
        </w:tc>
        <w:tc>
          <w:tcPr>
            <w:tcW w:type="dxa" w:w="33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Platform engineers with DevRel orientation, or DevRel practitioners with platform engineering credibility.</w:t>
            </w:r>
          </w:p>
        </w:tc>
      </w:tr>
    </w:tbl>
    <w:p>
      <w:pPr>
        <w:spacing w:after="320" w:before="0"/>
      </w:pPr>
      <w:r>
        <w:t xml:space="preserve"/>
      </w:r>
    </w:p>
    <w:p>
      <w:pPr>
        <w:pStyle w:val="Heading2"/>
        <w:spacing w:after="160" w:before="400"/>
      </w:pPr>
      <w:r>
        <w:rPr>
          <w:rFonts w:ascii="Arial" w:cs="Arial" w:eastAsia="Arial" w:hAnsi="Arial"/>
          <w:b/>
          <w:bCs/>
          <w:color w:val="1A1A18"/>
          <w:sz w:val="32"/>
          <w:szCs w:val="32"/>
        </w:rPr>
        <w:t xml:space="preserve">The Two-Layer Operating Model</w:t>
      </w:r>
    </w:p>
    <w:p>
      <w:pPr>
        <w:spacing w:after="160" w:before="0"/>
        <w:jc w:val="left"/>
      </w:pPr>
      <w:r>
        <w:rPr>
          <w:rFonts w:ascii="Arial" w:cs="Arial" w:eastAsia="Arial" w:hAnsi="Arial"/>
          <w:b w:val="false"/>
          <w:bCs w:val="false"/>
          <w:i w:val="false"/>
          <w:iCs w:val="false"/>
          <w:color w:val="2C2C2A"/>
          <w:sz w:val="22"/>
          <w:szCs w:val="22"/>
        </w:rPr>
        <w:t xml:space="preserve">The most important structural insight for DevRel organizations adopting Agentic Relations: the human community layer and the agent ecosystem layer cannot be merged, cannot share a budget line without explicit floors on each, and cannot be served by the same practitioners at full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12"/>
              <w:bottom w:val="single" w:color="854F0B" w:sz="4"/>
              <w:right w:val="single" w:color="854F0B" w:sz="4"/>
            </w:tcBorders>
            <w:shd w:fill="FAEEDA" w:val="clear"/>
            <w:tcMar>
              <w:top w:type="dxa" w:w="160"/>
              <w:left w:type="dxa" w:w="200"/>
              <w:bottom w:type="dxa" w:w="160"/>
              <w:right w:type="dxa" w:w="200"/>
            </w:tcMar>
          </w:tcPr>
          <w:p>
            <w:pPr>
              <w:spacing w:after="80" w:before="0"/>
            </w:pPr>
            <w:r>
              <w:rPr>
                <w:rFonts w:ascii="Arial" w:cs="Arial" w:eastAsia="Arial" w:hAnsi="Arial"/>
                <w:b/>
                <w:bCs/>
                <w:color w:val="0F6E56"/>
                <w:sz w:val="20"/>
                <w:szCs w:val="20"/>
              </w:rPr>
              <w:t xml:space="preserve">The portfolio model</w:t>
            </w:r>
          </w:p>
          <w:p>
            <w:pPr>
              <w:spacing w:after="0" w:before="0"/>
            </w:pPr>
            <w:r>
              <w:rPr>
                <w:rFonts w:ascii="Arial" w:cs="Arial" w:eastAsia="Arial" w:hAnsi="Arial"/>
                <w:color w:val="2C2C2A"/>
                <w:sz w:val="22"/>
                <w:szCs w:val="22"/>
              </w:rPr>
              <w:t xml:space="preserve">Treat the two layers as distinct budget lines with explicit allocations and minimum floors. The human community layer has a floor defined by the relationship capital required to maintain trust — do not cut below it without accepting reputation damage that recovers slowly. The agent ecosystem layer starts smaller and grows as AI tool adoption in the developer audience grows, with observable triggers: when 20%+ of developers use AI tools for integrations, a dedicated Agent Champion role is justified; when 40%+ do, a team is required.</w:t>
            </w:r>
          </w:p>
        </w:tc>
      </w:tr>
    </w:tbl>
    <w:p>
      <w:pPr>
        <w:spacing w:after="0" w:before="0"/>
      </w:pPr>
      <w:r>
        <w:br w:type="page"/>
      </w:r>
    </w:p>
    <w:p>
      <w:pPr>
        <w:pStyle w:val="Heading1"/>
        <w:pBdr>
          <w:bottom w:val="single" w:color="0F6E56" w:sz="8" w:space="6"/>
        </w:pBdr>
        <w:spacing w:after="200" w:before="480"/>
      </w:pPr>
      <w:r>
        <w:rPr>
          <w:rFonts w:ascii="Arial" w:cs="Arial" w:eastAsia="Arial" w:hAnsi="Arial"/>
          <w:b/>
          <w:bCs/>
          <w:color w:val="0F6E56"/>
          <w:sz w:val="48"/>
          <w:szCs w:val="48"/>
        </w:rPr>
        <w:t xml:space="preserve">Part 3 — How to Present Agentic Relations to DevRel Teams</w:t>
      </w:r>
    </w:p>
    <w:p>
      <w:pPr>
        <w:pStyle w:val="Heading2"/>
        <w:spacing w:after="160" w:before="400"/>
      </w:pPr>
      <w:r>
        <w:rPr>
          <w:rFonts w:ascii="Arial" w:cs="Arial" w:eastAsia="Arial" w:hAnsi="Arial"/>
          <w:b/>
          <w:bCs/>
          <w:color w:val="1A1A18"/>
          <w:sz w:val="32"/>
          <w:szCs w:val="32"/>
        </w:rPr>
        <w:t xml:space="preserve">The Problem You Are Solving for Them</w:t>
      </w:r>
    </w:p>
    <w:p>
      <w:pPr>
        <w:spacing w:after="160" w:before="0"/>
        <w:jc w:val="left"/>
      </w:pPr>
      <w:r>
        <w:rPr>
          <w:rFonts w:ascii="Arial" w:cs="Arial" w:eastAsia="Arial" w:hAnsi="Arial"/>
          <w:b w:val="false"/>
          <w:bCs w:val="false"/>
          <w:i w:val="false"/>
          <w:iCs w:val="false"/>
          <w:color w:val="2C2C2A"/>
          <w:sz w:val="22"/>
          <w:szCs w:val="22"/>
        </w:rPr>
        <w:t xml:space="preserve">DevRel practitioners are facing a crisis of relevance that most of them feel but cannot yet articulate. AI tools are flooding every content channel with generic material. Documentation that took days to write can now be produced in hours. Blog posts that required real expertise to write are now being generated by developers who point AI tools at API references and ask for tutorials.</w:t>
      </w:r>
    </w:p>
    <w:p>
      <w:pPr>
        <w:spacing w:after="160" w:before="0"/>
        <w:jc w:val="left"/>
      </w:pPr>
      <w:r>
        <w:rPr>
          <w:rFonts w:ascii="Arial" w:cs="Arial" w:eastAsia="Arial" w:hAnsi="Arial"/>
          <w:b w:val="false"/>
          <w:bCs w:val="false"/>
          <w:i w:val="false"/>
          <w:iCs w:val="false"/>
          <w:color w:val="2C2C2A"/>
          <w:sz w:val="22"/>
          <w:szCs w:val="22"/>
        </w:rPr>
        <w:t xml:space="preserve">The traditional value proposition of DevRel — we create high-quality content and community programs that drive developer adoption — is eroding at the execution layer. Agentic Relations gives DevRel practitioners a new layer to own: the infrastructure that determines whether AI tools produce correct integrations with the platform. This is work that AI cannot do on itself — it requires deep platform expertise, systematic measurement, and human judgment about what a correct integration looks like.</w:t>
      </w:r>
    </w:p>
    <w:p>
      <w:pPr>
        <w:spacing w:after="240" w:before="0"/>
      </w:pPr>
      <w:r>
        <w:t xml:space="preserve"/>
      </w:r>
    </w:p>
    <w:p>
      <w:pPr>
        <w:pStyle w:val="Heading2"/>
        <w:spacing w:after="160" w:before="400"/>
      </w:pPr>
      <w:r>
        <w:rPr>
          <w:rFonts w:ascii="Arial" w:cs="Arial" w:eastAsia="Arial" w:hAnsi="Arial"/>
          <w:b/>
          <w:bCs/>
          <w:color w:val="1A1A18"/>
          <w:sz w:val="32"/>
          <w:szCs w:val="32"/>
        </w:rPr>
        <w:t xml:space="preserve">The Core Message for DevRel Practitioners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single" w:color="1D9E75" w:sz="12"/>
              <w:bottom w:val="single" w:color="1D9E75" w:sz="4"/>
              <w:right w:val="single" w:color="1D9E75" w:sz="4"/>
            </w:tcBorders>
            <w:shd w:fill="E1F5EE" w:val="clear"/>
            <w:tcMar>
              <w:top w:type="dxa" w:w="160"/>
              <w:left w:type="dxa" w:w="200"/>
              <w:bottom w:type="dxa" w:w="160"/>
              <w:right w:type="dxa" w:w="200"/>
            </w:tcMar>
          </w:tcPr>
          <w:p>
            <w:pPr>
              <w:spacing w:after="80" w:before="0"/>
            </w:pPr>
            <w:r>
              <w:rPr>
                <w:rFonts w:ascii="Arial" w:cs="Arial" w:eastAsia="Arial" w:hAnsi="Arial"/>
                <w:b/>
                <w:bCs/>
                <w:color w:val="0F6E56"/>
                <w:sz w:val="20"/>
                <w:szCs w:val="20"/>
              </w:rPr>
              <w:t xml:space="preserve">Your audience now has members who can't read your content</w:t>
            </w:r>
          </w:p>
          <w:p>
            <w:pPr>
              <w:spacing w:after="0" w:before="0"/>
            </w:pPr>
            <w:r>
              <w:rPr>
                <w:rFonts w:ascii="Arial" w:cs="Arial" w:eastAsia="Arial" w:hAnsi="Arial"/>
                <w:color w:val="2C2C2A"/>
                <w:sz w:val="22"/>
                <w:szCs w:val="22"/>
              </w:rPr>
              <w:t xml:space="preserve">AI coding agents are integrating with your platform on behalf of developers. They don't attend your events, read your articles, or care about your ambassador program. But they touch every integration your platform hosts, amplify every ambiguity in your documentation, and make a decision about your platform on behalf of every developer who asks them to write some code. How you serve that audience is now a DevRel decision.</w:t>
            </w:r>
          </w:p>
        </w:tc>
      </w:tr>
    </w:tbl>
    <w:p>
      <w:pPr>
        <w:spacing w:after="240" w:before="0"/>
      </w:pPr>
      <w:r>
        <w:t xml:space="preserve"/>
      </w:r>
    </w:p>
    <w:p>
      <w:pPr>
        <w:pStyle w:val="Heading2"/>
        <w:spacing w:after="160" w:before="400"/>
      </w:pPr>
      <w:r>
        <w:rPr>
          <w:rFonts w:ascii="Arial" w:cs="Arial" w:eastAsia="Arial" w:hAnsi="Arial"/>
          <w:b/>
          <w:bCs/>
          <w:color w:val="1A1A18"/>
          <w:sz w:val="32"/>
          <w:szCs w:val="32"/>
        </w:rPr>
        <w:t xml:space="preserve">Five Talking Points That Land With DevRel Practitioners</w:t>
      </w:r>
    </w:p>
    <w:p>
      <w:pPr>
        <w:pStyle w:val="Heading3"/>
        <w:spacing w:after="120" w:before="280"/>
      </w:pPr>
      <w:r>
        <w:rPr>
          <w:rFonts w:ascii="Arial" w:cs="Arial" w:eastAsia="Arial" w:hAnsi="Arial"/>
          <w:b/>
          <w:bCs/>
          <w:color w:val="0F6E56"/>
          <w:sz w:val="26"/>
          <w:szCs w:val="26"/>
        </w:rPr>
        <w:t xml:space="preserve">1. Agentic Relations elevates DevRel from support function to strategic function</w:t>
      </w:r>
    </w:p>
    <w:p>
      <w:pPr>
        <w:spacing w:after="160" w:before="0"/>
        <w:jc w:val="left"/>
      </w:pPr>
      <w:r>
        <w:rPr>
          <w:rFonts w:ascii="Arial" w:cs="Arial" w:eastAsia="Arial" w:hAnsi="Arial"/>
          <w:b w:val="false"/>
          <w:bCs w:val="false"/>
          <w:i w:val="false"/>
          <w:iCs w:val="false"/>
          <w:color w:val="2C2C2A"/>
          <w:sz w:val="22"/>
          <w:szCs w:val="22"/>
        </w:rPr>
        <w:t xml:space="preserve">The first-attempt integration success rate is the most direct causal link between DevRel work and platform adoption that the field has ever produced. When DevRel owns the agent ecosystem health metric and can show that their recipe library maintenance directly improved the percentage of AI-assisted integrations that work on the first try, the conversation with leadership changes. This is not reach and engagement. This is a number that directly predicts adoption.</w:t>
      </w:r>
    </w:p>
    <w:p>
      <w:pPr>
        <w:pStyle w:val="Heading3"/>
        <w:spacing w:after="120" w:before="280"/>
      </w:pPr>
      <w:r>
        <w:rPr>
          <w:rFonts w:ascii="Arial" w:cs="Arial" w:eastAsia="Arial" w:hAnsi="Arial"/>
          <w:b/>
          <w:bCs/>
          <w:color w:val="0F6E56"/>
          <w:sz w:val="26"/>
          <w:szCs w:val="26"/>
        </w:rPr>
        <w:t xml:space="preserve">2. The Amdahl Tax argument wins the engineering conversation</w:t>
      </w:r>
    </w:p>
    <w:p>
      <w:pPr>
        <w:spacing w:after="160" w:before="0"/>
        <w:jc w:val="left"/>
      </w:pPr>
      <w:r>
        <w:rPr>
          <w:rFonts w:ascii="Arial" w:cs="Arial" w:eastAsia="Arial" w:hAnsi="Arial"/>
          <w:b w:val="false"/>
          <w:bCs w:val="false"/>
          <w:i w:val="false"/>
          <w:iCs w:val="false"/>
          <w:color w:val="2C2C2A"/>
          <w:sz w:val="22"/>
          <w:szCs w:val="22"/>
        </w:rPr>
        <w:t xml:space="preserve">When the Agent Champion identifies that 70% of the time an agent spends integrating with the platform is tool interaction — slow APIs, human-session auth, rate limits calibrated for human consumption — and can show that competitors have lowered that fraction through agent-native design, DevRel has an engineering argument backed by data. This is new. DevRel practitioners have historically struggled to influence platform engineering decisions. Agentic Relations gives them the measurement language to do it.</w:t>
      </w:r>
    </w:p>
    <w:p>
      <w:pPr>
        <w:pStyle w:val="Heading3"/>
        <w:spacing w:after="120" w:before="280"/>
      </w:pPr>
      <w:r>
        <w:rPr>
          <w:rFonts w:ascii="Arial" w:cs="Arial" w:eastAsia="Arial" w:hAnsi="Arial"/>
          <w:b/>
          <w:bCs/>
          <w:color w:val="0F6E56"/>
          <w:sz w:val="26"/>
          <w:szCs w:val="26"/>
        </w:rPr>
        <w:t xml:space="preserve">3. The recipe library is the encoded institutional memory the field has always needed</w:t>
      </w:r>
    </w:p>
    <w:p>
      <w:pPr>
        <w:spacing w:after="160" w:before="0"/>
        <w:jc w:val="left"/>
      </w:pPr>
      <w:r>
        <w:rPr>
          <w:rFonts w:ascii="Arial" w:cs="Arial" w:eastAsia="Arial" w:hAnsi="Arial"/>
          <w:b w:val="false"/>
          <w:bCs w:val="false"/>
          <w:i w:val="false"/>
          <w:iCs w:val="false"/>
          <w:color w:val="2C2C2A"/>
          <w:sz w:val="22"/>
          <w:szCs w:val="22"/>
        </w:rPr>
        <w:t xml:space="preserve">Senior DevRel practitioners carry enormous tacit knowledge — about what integrations fail, why, which error states matter, which architectural patterns hold under real load. That knowledge walks out the door when they leave. The recipe library, maintained by Agent Champions and versioned alongside the API, captures that knowledge in a form that compounds rather than depreciates. It is the DevRel program's accumulated taste, made accessible to every AI tool a developer might use.</w:t>
      </w:r>
    </w:p>
    <w:p>
      <w:pPr>
        <w:pStyle w:val="Heading3"/>
        <w:spacing w:after="120" w:before="280"/>
      </w:pPr>
      <w:r>
        <w:rPr>
          <w:rFonts w:ascii="Arial" w:cs="Arial" w:eastAsia="Arial" w:hAnsi="Arial"/>
          <w:b/>
          <w:bCs/>
          <w:color w:val="0F6E56"/>
          <w:sz w:val="26"/>
          <w:szCs w:val="26"/>
        </w:rPr>
        <w:t xml:space="preserve">4. Human community patterns become more valuable, not less</w:t>
      </w:r>
    </w:p>
    <w:p>
      <w:pPr>
        <w:spacing w:after="160" w:before="0"/>
        <w:jc w:val="left"/>
      </w:pPr>
      <w:r>
        <w:rPr>
          <w:rFonts w:ascii="Arial" w:cs="Arial" w:eastAsia="Arial" w:hAnsi="Arial"/>
          <w:b w:val="false"/>
          <w:bCs w:val="false"/>
          <w:i w:val="false"/>
          <w:iCs w:val="false"/>
          <w:color w:val="2C2C2A"/>
          <w:sz w:val="22"/>
          <w:szCs w:val="22"/>
        </w:rPr>
        <w:t xml:space="preserve">As AI floods every content channel, the patterns that require genuine human presence — conference sessions, office hours, community events, ambassador relationships — become the scarcest signal in the developer ecosystem. Agentic Relations does not compete with these patterns. It frees them from the competition with AI-generated content by creating a separate layer for agent-specific work, allowing human-facing programs to invest in the things only humans can provide.</w:t>
      </w:r>
    </w:p>
    <w:p>
      <w:pPr>
        <w:pStyle w:val="Heading3"/>
        <w:spacing w:after="120" w:before="280"/>
      </w:pPr>
      <w:r>
        <w:rPr>
          <w:rFonts w:ascii="Arial" w:cs="Arial" w:eastAsia="Arial" w:hAnsi="Arial"/>
          <w:b/>
          <w:bCs/>
          <w:color w:val="0F6E56"/>
          <w:sz w:val="26"/>
          <w:szCs w:val="26"/>
        </w:rPr>
        <w:t xml:space="preserve">5. The field is already splitting — Agentic Relations names the split</w:t>
      </w:r>
    </w:p>
    <w:p>
      <w:pPr>
        <w:spacing w:after="160" w:before="0"/>
        <w:jc w:val="left"/>
      </w:pPr>
      <w:r>
        <w:rPr>
          <w:rFonts w:ascii="Arial" w:cs="Arial" w:eastAsia="Arial" w:hAnsi="Arial"/>
          <w:b w:val="false"/>
          <w:bCs w:val="false"/>
          <w:i w:val="false"/>
          <w:iCs w:val="false"/>
          <w:color w:val="2C2C2A"/>
          <w:sz w:val="22"/>
          <w:szCs w:val="22"/>
        </w:rPr>
        <w:t xml:space="preserve">DevRel teams everywhere are discovering that some of their work has shifted toward AI-adjacent tasks: reviewing AI-generated documentation, maintaining MCP server definitions, testing how AI tools handle their platform's API. This work exists without a name, without a career path, and without measurement frameworks. Agentic Relations names it, structures it, and gives practitioners who are already doing this work a vocabulary and a community.</w:t>
      </w:r>
    </w:p>
    <w:p>
      <w:pPr>
        <w:spacing w:after="240" w:before="0"/>
      </w:pPr>
      <w:r>
        <w:t xml:space="preserve"/>
      </w:r>
    </w:p>
    <w:p>
      <w:pPr>
        <w:pStyle w:val="Heading2"/>
        <w:spacing w:after="160" w:before="400"/>
      </w:pPr>
      <w:r>
        <w:rPr>
          <w:rFonts w:ascii="Arial" w:cs="Arial" w:eastAsia="Arial" w:hAnsi="Arial"/>
          <w:b/>
          <w:bCs/>
          <w:color w:val="1A1A18"/>
          <w:sz w:val="32"/>
          <w:szCs w:val="32"/>
        </w:rPr>
        <w:t xml:space="preserve">Anticipated Objections and Responses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20"/>
        <w:gridCol w:w="3640"/>
      </w:tblGrid>
      <w:tr>
        <w:tc>
          <w:tcPr>
            <w:tcW w:type="dxa" w:w="2600"/>
            <w:tcBorders>
              <w:top w:val="single" w:color="D3D1C7" w:sz="1"/>
              <w:left w:val="single" w:color="D3D1C7" w:sz="1"/>
              <w:bottom w:val="single" w:color="D3D1C7" w:sz="1"/>
              <w:right w:val="single" w:color="D3D1C7" w:sz="1"/>
            </w:tcBorders>
            <w:shd w:fill="0F6E56"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Objection</w:t>
            </w:r>
          </w:p>
        </w:tc>
        <w:tc>
          <w:tcPr>
            <w:tcW w:type="dxa" w:w="3120"/>
            <w:tcBorders>
              <w:top w:val="single" w:color="D3D1C7" w:sz="1"/>
              <w:left w:val="single" w:color="D3D1C7" w:sz="1"/>
              <w:bottom w:val="single" w:color="D3D1C7" w:sz="1"/>
              <w:right w:val="single" w:color="D3D1C7" w:sz="1"/>
            </w:tcBorders>
            <w:shd w:fill="3C3489"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What it really means</w:t>
            </w:r>
          </w:p>
        </w:tc>
        <w:tc>
          <w:tcPr>
            <w:tcW w:type="dxa" w:w="3640"/>
            <w:tcBorders>
              <w:top w:val="single" w:color="D3D1C7" w:sz="1"/>
              <w:left w:val="single" w:color="D3D1C7" w:sz="1"/>
              <w:bottom w:val="single" w:color="D3D1C7" w:sz="1"/>
              <w:right w:val="single" w:color="D3D1C7" w:sz="1"/>
            </w:tcBorders>
            <w:shd w:fill="854F0B"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The response</w:t>
            </w:r>
          </w:p>
        </w:tc>
      </w:tr>
      <w:tr>
        <w:tc>
          <w:tcPr>
            <w:tcW w:type="dxa" w:w="2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"We already have an MCP server."</w:t>
            </w:r>
          </w:p>
        </w:tc>
        <w:tc>
          <w:tcPr>
            <w:tcW w:type="dxa" w:w="312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Team believes agent-accessible equals agent-native. Has not measured the Amdahl ceiling.</w:t>
            </w:r>
          </w:p>
        </w:tc>
        <w:tc>
          <w:tcPr>
            <w:tcW w:type="dxa" w:w="364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MCP makes the platform accessible to agents. It does not make it fast enough for agents. Measure the fraction of integration time that is tool interaction versus model reasoning. That fraction is the ceiling.</w:t>
            </w:r>
          </w:p>
        </w:tc>
      </w:tr>
      <w:tr>
        <w:tc>
          <w:tcPr>
            <w:tcW w:type="dxa" w:w="2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"We don't have budget for new roles."</w:t>
            </w:r>
          </w:p>
        </w:tc>
        <w:tc>
          <w:tcPr>
            <w:tcW w:type="dxa" w:w="312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Sees Agent Champion as additive headcount, not a reallocation of existing effort toward higher-leverage work.</w:t>
            </w:r>
          </w:p>
        </w:tc>
        <w:tc>
          <w:tcPr>
            <w:tcW w:type="dxa" w:w="36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Start with one day per week from an existing practitioner, dedicated explicitly to monitoring. The first controlled test suite run will surface findings that justify the investment.</w:t>
            </w:r>
          </w:p>
        </w:tc>
      </w:tr>
      <w:tr>
        <w:tc>
          <w:tcPr>
            <w:tcW w:type="dxa" w:w="2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"Our developers don't use AI tools that heavily."</w:t>
            </w:r>
          </w:p>
        </w:tc>
        <w:tc>
          <w:tcPr>
            <w:tcW w:type="dxa" w:w="312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Is measuring tool adoption among known developers. Not measuring the silent AI-assisted developers who never surface in community metrics.</w:t>
            </w:r>
          </w:p>
        </w:tc>
        <w:tc>
          <w:tcPr>
            <w:tcW w:type="dxa" w:w="364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The silent majority is the measurement problem. Run one controlled test suite against your top five integration tasks and share the results. The number is almost always surprising.</w:t>
            </w:r>
          </w:p>
        </w:tc>
      </w:tr>
      <w:tr>
        <w:tc>
          <w:tcPr>
            <w:tcW w:type="dxa" w:w="2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"This is an engineering problem, not a DevRel problem."</w:t>
            </w:r>
          </w:p>
        </w:tc>
        <w:tc>
          <w:tcPr>
            <w:tcW w:type="dxa" w:w="312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Believes the API surface and documentation are out of DevRel's scope.</w:t>
            </w:r>
          </w:p>
        </w:tc>
        <w:tc>
          <w:tcPr>
            <w:tcW w:type="dxa" w:w="36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DevRel has always influenced documentation and integration design. Agentic Relations formalizes that influence and gives it measurement backing. The Agent Champion's feedback loop to engineering is the same feedback loop DevRel has always run — with better data.</w:t>
            </w:r>
          </w:p>
        </w:tc>
      </w:tr>
    </w:tbl>
    <w:p>
      <w:pPr>
        <w:spacing w:after="0" w:before="0"/>
      </w:pPr>
      <w:r>
        <w:br w:type="page"/>
      </w:r>
    </w:p>
    <w:p>
      <w:pPr>
        <w:pStyle w:val="Heading1"/>
        <w:pBdr>
          <w:bottom w:val="single" w:color="0F6E56" w:sz="8" w:space="6"/>
        </w:pBdr>
        <w:spacing w:after="200" w:before="480"/>
      </w:pPr>
      <w:r>
        <w:rPr>
          <w:rFonts w:ascii="Arial" w:cs="Arial" w:eastAsia="Arial" w:hAnsi="Arial"/>
          <w:b/>
          <w:bCs/>
          <w:color w:val="0F6E56"/>
          <w:sz w:val="48"/>
          <w:szCs w:val="48"/>
        </w:rPr>
        <w:t xml:space="preserve">Part 4 — How to Present Agentic Relations to Companies Evaluating DevRel Investment</w:t>
      </w:r>
    </w:p>
    <w:p>
      <w:pPr>
        <w:pStyle w:val="Heading2"/>
        <w:spacing w:after="160" w:before="400"/>
      </w:pPr>
      <w:r>
        <w:rPr>
          <w:rFonts w:ascii="Arial" w:cs="Arial" w:eastAsia="Arial" w:hAnsi="Arial"/>
          <w:b/>
          <w:bCs/>
          <w:color w:val="1A1A18"/>
          <w:sz w:val="32"/>
          <w:szCs w:val="32"/>
        </w:rPr>
        <w:t xml:space="preserve">The Executive Frame</w:t>
      </w:r>
    </w:p>
    <w:p>
      <w:pPr>
        <w:spacing w:after="160" w:before="0"/>
        <w:jc w:val="left"/>
      </w:pPr>
      <w:r>
        <w:rPr>
          <w:rFonts w:ascii="Arial" w:cs="Arial" w:eastAsia="Arial" w:hAnsi="Arial"/>
          <w:b w:val="false"/>
          <w:bCs w:val="false"/>
          <w:i w:val="false"/>
          <w:iCs w:val="false"/>
          <w:color w:val="2C2C2A"/>
          <w:sz w:val="22"/>
          <w:szCs w:val="22"/>
        </w:rPr>
        <w:t xml:space="preserve">Companies evaluating DevRel investment have one question beneath all the others: does DevRel drive revenue? The traditional answer involves reach, engagement, pipeline influence, and brand sentiment — metrics that are real but notoriously difficult to connect directly to adoption numbers.</w:t>
      </w:r>
    </w:p>
    <w:p>
      <w:pPr>
        <w:spacing w:after="160" w:before="0"/>
        <w:jc w:val="left"/>
      </w:pPr>
      <w:r>
        <w:rPr>
          <w:rFonts w:ascii="Arial" w:cs="Arial" w:eastAsia="Arial" w:hAnsi="Arial"/>
          <w:b w:val="false"/>
          <w:bCs w:val="false"/>
          <w:i w:val="false"/>
          <w:iCs w:val="false"/>
          <w:color w:val="2C2C2A"/>
          <w:sz w:val="22"/>
          <w:szCs w:val="22"/>
        </w:rPr>
        <w:t xml:space="preserve">Agentic Relations produces a different answer. The first-attempt integration success rate is a causal metric: developers who experience successful AI-assisted integrations on the first attempt adopt the platform. Developers who experience systematic AI-generated integration failures choose alternatives — and they do it silently, without generating the support tickets or forum posts that would give the company a chance to respond. Agentic Relations is the practice of measuring and improving that rate.</w:t>
      </w:r>
    </w:p>
    <w:p>
      <w:pPr>
        <w:spacing w:after="240" w:before="0"/>
      </w:pPr>
      <w:r>
        <w:t xml:space="preserve"/>
      </w:r>
    </w:p>
    <w:p>
      <w:pPr>
        <w:pStyle w:val="Heading2"/>
        <w:spacing w:after="160" w:before="400"/>
      </w:pPr>
      <w:r>
        <w:rPr>
          <w:rFonts w:ascii="Arial" w:cs="Arial" w:eastAsia="Arial" w:hAnsi="Arial"/>
          <w:b/>
          <w:bCs/>
          <w:color w:val="1A1A18"/>
          <w:sz w:val="32"/>
          <w:szCs w:val="32"/>
        </w:rPr>
        <w:t xml:space="preserve">The Competitive Threat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12"/>
              <w:bottom w:val="single" w:color="854F0B" w:sz="4"/>
              <w:right w:val="single" w:color="854F0B" w:sz="4"/>
            </w:tcBorders>
            <w:shd w:fill="FAEEDA" w:val="clear"/>
            <w:tcMar>
              <w:top w:type="dxa" w:w="160"/>
              <w:left w:type="dxa" w:w="200"/>
              <w:bottom w:type="dxa" w:w="160"/>
              <w:right w:type="dxa" w:w="200"/>
            </w:tcMar>
          </w:tcPr>
          <w:p>
            <w:pPr>
              <w:spacing w:after="80" w:before="0"/>
            </w:pPr>
            <w:r>
              <w:rPr>
                <w:rFonts w:ascii="Arial" w:cs="Arial" w:eastAsia="Arial" w:hAnsi="Arial"/>
                <w:b/>
                <w:bCs/>
                <w:color w:val="0F6E56"/>
                <w:sz w:val="20"/>
                <w:szCs w:val="20"/>
              </w:rPr>
              <w:t xml:space="preserve">The METR and Jellyfish findings</w:t>
            </w:r>
          </w:p>
          <w:p>
            <w:pPr>
              <w:spacing w:after="0" w:before="0"/>
            </w:pPr>
            <w:r>
              <w:rPr>
                <w:rFonts w:ascii="Arial" w:cs="Arial" w:eastAsia="Arial" w:hAnsi="Arial"/>
                <w:color w:val="2C2C2A"/>
                <w:sz w:val="22"/>
                <w:szCs w:val="22"/>
              </w:rPr>
              <w:t xml:space="preserve">A rigorous RCT found that experienced developers using AI tools in environments not designed for agent consumption were 19% slower — while estimating they were 20% faster. The same models, at companies that had rebuilt their toolchains for agent-speed consumption, drove pull requests per engineer from 1.36 to 2.9. The environment is the binding constraint. Your documentation, your API surface, your auth flows, and your error model are the environment for every developer integrating with your platform. Agentic Relations is the practice of managing that environment for the AI-assisted developer.</w:t>
            </w:r>
          </w:p>
        </w:tc>
      </w:tr>
    </w:tbl>
    <w:p>
      <w:pPr>
        <w:spacing w:after="240" w:before="0"/>
      </w:pPr>
      <w:r>
        <w:t xml:space="preserve"/>
      </w:r>
    </w:p>
    <w:p>
      <w:pPr>
        <w:pStyle w:val="Heading2"/>
        <w:spacing w:after="160" w:before="400"/>
      </w:pPr>
      <w:r>
        <w:rPr>
          <w:rFonts w:ascii="Arial" w:cs="Arial" w:eastAsia="Arial" w:hAnsi="Arial"/>
          <w:b/>
          <w:bCs/>
          <w:color w:val="1A1A18"/>
          <w:sz w:val="32"/>
          <w:szCs w:val="32"/>
        </w:rPr>
        <w:t xml:space="preserve">Four Business Arguments for Agentic Relations Investment</w:t>
      </w:r>
    </w:p>
    <w:p>
      <w:pPr>
        <w:pStyle w:val="Heading3"/>
        <w:spacing w:after="120" w:before="280"/>
      </w:pPr>
      <w:r>
        <w:rPr>
          <w:rFonts w:ascii="Arial" w:cs="Arial" w:eastAsia="Arial" w:hAnsi="Arial"/>
          <w:b/>
          <w:bCs/>
          <w:color w:val="0F6E56"/>
          <w:sz w:val="26"/>
          <w:szCs w:val="26"/>
        </w:rPr>
        <w:t xml:space="preserve">Argument 1: Platform selection is shifting to AI-assisted evaluation</w:t>
      </w:r>
    </w:p>
    <w:p>
      <w:pPr>
        <w:spacing w:after="160" w:before="0"/>
        <w:jc w:val="left"/>
      </w:pPr>
      <w:r>
        <w:rPr>
          <w:rFonts w:ascii="Arial" w:cs="Arial" w:eastAsia="Arial" w:hAnsi="Arial"/>
          <w:b w:val="false"/>
          <w:bCs w:val="false"/>
          <w:i w:val="false"/>
          <w:iCs w:val="false"/>
          <w:color w:val="2C2C2A"/>
          <w:sz w:val="22"/>
          <w:szCs w:val="22"/>
        </w:rPr>
        <w:t xml:space="preserve">A technical evaluator choosing between two platforms in 2024 ran a proof-of-concept personally. In 2026, they increasingly ask an AI agent to run the proof-of-concept. The platform that produces a working integration in the AI-assisted evaluation wins the evaluation — and the DevRel team that understands this has already optimized for it. This is not a future scenario. It is a current competitive dynamic.</w:t>
      </w:r>
    </w:p>
    <w:p>
      <w:pPr>
        <w:pStyle w:val="Heading3"/>
        <w:spacing w:after="120" w:before="280"/>
      </w:pPr>
      <w:r>
        <w:rPr>
          <w:rFonts w:ascii="Arial" w:cs="Arial" w:eastAsia="Arial" w:hAnsi="Arial"/>
          <w:b/>
          <w:bCs/>
          <w:color w:val="0F6E56"/>
          <w:sz w:val="26"/>
          <w:szCs w:val="26"/>
        </w:rPr>
        <w:t xml:space="preserve">Argument 2: Agent ecosystem failures are invisible until they are catastrophic</w:t>
      </w:r>
    </w:p>
    <w:p>
      <w:pPr>
        <w:spacing w:after="160" w:before="0"/>
        <w:jc w:val="left"/>
      </w:pPr>
      <w:r>
        <w:rPr>
          <w:rFonts w:ascii="Arial" w:cs="Arial" w:eastAsia="Arial" w:hAnsi="Arial"/>
          <w:b w:val="false"/>
          <w:bCs w:val="false"/>
          <w:i w:val="false"/>
          <w:iCs w:val="false"/>
          <w:color w:val="2C2C2A"/>
          <w:sz w:val="22"/>
          <w:szCs w:val="22"/>
        </w:rPr>
        <w:t xml:space="preserve">When a developer's AI tool produces a broken integration, that developer may debug silently, find a workaround, or abandon the platform. They are unlikely to file a support ticket or post a forum question. The signal never reaches the product team. The documentation team doesn't know its documentation is ambiguous. The company's metrics look stable while adoption degrades. Agentic Relations creates the measurement infrastructure that makes this degradation visible before it compounds into reputation damage.</w:t>
      </w:r>
    </w:p>
    <w:p>
      <w:pPr>
        <w:pStyle w:val="Heading3"/>
        <w:spacing w:after="120" w:before="280"/>
      </w:pPr>
      <w:r>
        <w:rPr>
          <w:rFonts w:ascii="Arial" w:cs="Arial" w:eastAsia="Arial" w:hAnsi="Arial"/>
          <w:b/>
          <w:bCs/>
          <w:color w:val="0F6E56"/>
          <w:sz w:val="26"/>
          <w:szCs w:val="26"/>
        </w:rPr>
        <w:t xml:space="preserve">Argument 3: Encoded judgment compounds; talent mobility does not</w:t>
      </w:r>
    </w:p>
    <w:p>
      <w:pPr>
        <w:spacing w:after="160" w:before="0"/>
        <w:jc w:val="left"/>
      </w:pPr>
      <w:r>
        <w:rPr>
          <w:rFonts w:ascii="Arial" w:cs="Arial" w:eastAsia="Arial" w:hAnsi="Arial"/>
          <w:b w:val="false"/>
          <w:bCs w:val="false"/>
          <w:i w:val="false"/>
          <w:iCs w:val="false"/>
          <w:color w:val="2C2C2A"/>
          <w:sz w:val="22"/>
          <w:szCs w:val="22"/>
        </w:rPr>
        <w:t xml:space="preserve">The most valuable asset in a mature DevRel program is the accumulated institutional judgment about the platform and its developer ecosystem. This judgment currently lives in senior practitioners' heads and walks out the door when they leave. The recipe library maintained by an Agentic Relations program encodes that judgment into versioned, machine-accessible artifacts that compound over time. Organizations that build this infrastructure create a durable competitive advantage that does not depend on the tenure of specific individuals.</w:t>
      </w:r>
    </w:p>
    <w:p>
      <w:pPr>
        <w:pStyle w:val="Heading3"/>
        <w:spacing w:after="120" w:before="280"/>
      </w:pPr>
      <w:r>
        <w:rPr>
          <w:rFonts w:ascii="Arial" w:cs="Arial" w:eastAsia="Arial" w:hAnsi="Arial"/>
          <w:b/>
          <w:bCs/>
          <w:color w:val="0F6E56"/>
          <w:sz w:val="26"/>
          <w:szCs w:val="26"/>
        </w:rPr>
        <w:t xml:space="preserve">Argument 4: The Amdahl ceiling is a product roadmap argument</w:t>
      </w:r>
    </w:p>
    <w:p>
      <w:pPr>
        <w:spacing w:after="160" w:before="0"/>
        <w:jc w:val="left"/>
      </w:pPr>
      <w:r>
        <w:rPr>
          <w:rFonts w:ascii="Arial" w:cs="Arial" w:eastAsia="Arial" w:hAnsi="Arial"/>
          <w:b w:val="false"/>
          <w:bCs w:val="false"/>
          <w:i w:val="false"/>
          <w:iCs w:val="false"/>
          <w:color w:val="2C2C2A"/>
          <w:sz w:val="22"/>
          <w:szCs w:val="22"/>
        </w:rPr>
        <w:t xml:space="preserve">When the Agent Champion quantifies that 70% of the time an AI agent spends integrating with the platform is consumed by human-speed tool interactions — and when a competitor has lowered that fraction to 30% through agent-native API design — the DevRel program has produced a product roadmap argument backed by competitive data. This is a new category of value that traditional DevRel programs have never delivered. It connects DevRel measurement directly to engineering investment decisions.</w:t>
      </w:r>
    </w:p>
    <w:p>
      <w:pPr>
        <w:spacing w:after="240" w:before="0"/>
      </w:pPr>
      <w:r>
        <w:t xml:space="preserve"/>
      </w:r>
    </w:p>
    <w:p>
      <w:pPr>
        <w:pStyle w:val="Heading2"/>
        <w:spacing w:after="160" w:before="400"/>
      </w:pPr>
      <w:r>
        <w:rPr>
          <w:rFonts w:ascii="Arial" w:cs="Arial" w:eastAsia="Arial" w:hAnsi="Arial"/>
          <w:b/>
          <w:bCs/>
          <w:color w:val="1A1A18"/>
          <w:sz w:val="32"/>
          <w:szCs w:val="32"/>
        </w:rPr>
        <w:t xml:space="preserve">The Investment Tiers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0F6E56"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Organization size</w:t>
            </w:r>
          </w:p>
        </w:tc>
        <w:tc>
          <w:tcPr>
            <w:tcW w:type="dxa" w:w="3580"/>
            <w:tcBorders>
              <w:top w:val="single" w:color="D3D1C7" w:sz="1"/>
              <w:left w:val="single" w:color="D3D1C7" w:sz="1"/>
              <w:bottom w:val="single" w:color="D3D1C7" w:sz="1"/>
              <w:right w:val="single" w:color="D3D1C7" w:sz="1"/>
            </w:tcBorders>
            <w:shd w:fill="3C3489"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Minimum viable Agentic Relations</w:t>
            </w:r>
          </w:p>
        </w:tc>
        <w:tc>
          <w:tcPr>
            <w:tcW w:type="dxa" w:w="3580"/>
            <w:tcBorders>
              <w:top w:val="single" w:color="D3D1C7" w:sz="1"/>
              <w:left w:val="single" w:color="D3D1C7" w:sz="1"/>
              <w:bottom w:val="single" w:color="D3D1C7" w:sz="1"/>
              <w:right w:val="single" w:color="D3D1C7" w:sz="1"/>
            </w:tcBorders>
            <w:shd w:fill="854F0B"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Full program</w:t>
            </w:r>
          </w:p>
        </w:tc>
      </w:tr>
      <w:tr>
        <w:tc>
          <w:tcPr>
            <w:tcW w:type="dxa" w:w="22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Small (1-5 DevRel practitioners)</w:t>
            </w:r>
          </w:p>
        </w:tc>
        <w:tc>
          <w:tcPr>
            <w:tcW w:type="dxa" w:w="35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One practitioner owns Agent Champion function 1 day/week. Manual test suite of 10 tasks, 2 AI tools. Recipes published in docs alongside human content.</w:t>
            </w:r>
          </w:p>
        </w:tc>
        <w:tc>
          <w:tcPr>
            <w:tcW w:type="dxa" w:w="35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Not applicable at this scale. Grow the test suite and recipe library. Hire dedicated Agent Champion at the 20% AI tool adoption threshold.</w:t>
            </w:r>
          </w:p>
        </w:tc>
      </w:tr>
      <w:tr>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Mid-size (6-15 practitioners)</w:t>
            </w:r>
          </w:p>
        </w:tc>
        <w:tc>
          <w:tcPr>
            <w:tcW w:type="dxa" w:w="35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Dedicated Agent Champion role, full-time. Automated test suite across 5 AI tools. Recipe library versioned alongside API.</w:t>
            </w:r>
          </w:p>
        </w:tc>
        <w:tc>
          <w:tcPr>
            <w:tcW w:type="dxa" w:w="35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Add Documentation Architect for agent consumption. Agentic Hackathon program. Agent ecosystem health dashboard with all four measurement layers.</w:t>
            </w:r>
          </w:p>
        </w:tc>
      </w:tr>
      <w:tr>
        <w:tc>
          <w:tcPr>
            <w:tcW w:type="dxa" w:w="22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Large (15+ practitioners)</w:t>
            </w:r>
          </w:p>
        </w:tc>
        <w:tc>
          <w:tcPr>
            <w:tcW w:type="dxa" w:w="358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Two-track structure: Human Relations track and Agent Relations track, sharing a leadership layer. Agent Relations track owns FAISR and Amdahl ceiling metrics.</w:t>
            </w:r>
          </w:p>
        </w:tc>
        <w:tc>
          <w:tcPr>
            <w:tcW w:type="dxa" w:w="35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API Experience Designer role. MCP server with agent-native primitives. Competitive benchmarking program. Recipe library as published community resource.</w:t>
            </w:r>
          </w:p>
        </w:tc>
      </w:tr>
    </w:tbl>
    <w:p>
      <w:pPr>
        <w:spacing w:after="320" w:before="0"/>
      </w:pPr>
      <w:r>
        <w:t xml:space="preserve"/>
      </w:r>
    </w:p>
    <w:p>
      <w:pPr>
        <w:pStyle w:val="Heading2"/>
        <w:spacing w:after="160" w:before="400"/>
      </w:pPr>
      <w:r>
        <w:rPr>
          <w:rFonts w:ascii="Arial" w:cs="Arial" w:eastAsia="Arial" w:hAnsi="Arial"/>
          <w:b/>
          <w:bCs/>
          <w:color w:val="1A1A18"/>
          <w:sz w:val="32"/>
          <w:szCs w:val="32"/>
        </w:rPr>
        <w:t xml:space="preserve">The Measurement Story for the Board</w:t>
      </w:r>
    </w:p>
    <w:p>
      <w:pPr>
        <w:spacing w:after="160" w:before="0"/>
        <w:jc w:val="left"/>
      </w:pPr>
      <w:r>
        <w:rPr>
          <w:rFonts w:ascii="Arial" w:cs="Arial" w:eastAsia="Arial" w:hAnsi="Arial"/>
          <w:b w:val="false"/>
          <w:bCs w:val="false"/>
          <w:i w:val="false"/>
          <w:iCs w:val="false"/>
          <w:color w:val="2C2C2A"/>
          <w:sz w:val="22"/>
          <w:szCs w:val="22"/>
        </w:rPr>
        <w:t xml:space="preserve">DevRel investment has historically been justified by proxy metrics — reach, community size, content output. Agentic Relations produces a measurement stack that connects directly to adoption outcomes.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0F6E56" w:val="clear"/>
            <w:tcMar>
              <w:top w:type="dxa" w:w="120"/>
              <w:left w:type="dxa" w:w="140"/>
              <w:bottom w:type="dxa" w:w="120"/>
              <w:right w:type="dxa" w:w="140"/>
            </w:tcMar>
          </w:tcPr>
          <w:p>
            <w:pPr>
              <w:spacing w:after="0" w:before="0"/>
            </w:pPr>
            <w:r>
              <w:rPr>
                <w:rFonts w:ascii="Arial" w:cs="Arial" w:eastAsia="Arial" w:hAnsi="Arial"/>
                <w:b/>
                <w:bCs/>
                <w:color w:val="FFFFFF"/>
                <w:sz w:val="22"/>
                <w:szCs w:val="22"/>
              </w:rPr>
              <w:t xml:space="preserve">Metric</w:t>
            </w:r>
          </w:p>
        </w:tc>
        <w:tc>
          <w:tcPr>
            <w:tcW w:type="dxa" w:w="3120"/>
            <w:tcBorders>
              <w:top w:val="single" w:color="D3D1C7" w:sz="1"/>
              <w:left w:val="single" w:color="D3D1C7" w:sz="1"/>
              <w:bottom w:val="single" w:color="D3D1C7" w:sz="1"/>
              <w:right w:val="single" w:color="D3D1C7" w:sz="1"/>
            </w:tcBorders>
            <w:shd w:fill="0F6E56" w:val="clear"/>
            <w:tcMar>
              <w:top w:type="dxa" w:w="120"/>
              <w:left w:type="dxa" w:w="140"/>
              <w:bottom w:type="dxa" w:w="120"/>
              <w:right w:type="dxa" w:w="140"/>
            </w:tcMar>
          </w:tcPr>
          <w:p>
            <w:pPr>
              <w:spacing w:after="0" w:before="0"/>
            </w:pPr>
            <w:r>
              <w:rPr>
                <w:rFonts w:ascii="Arial" w:cs="Arial" w:eastAsia="Arial" w:hAnsi="Arial"/>
                <w:b/>
                <w:bCs/>
                <w:color w:val="FFFFFF"/>
                <w:sz w:val="22"/>
                <w:szCs w:val="22"/>
              </w:rPr>
              <w:t xml:space="preserve">What it measures</w:t>
            </w:r>
          </w:p>
        </w:tc>
        <w:tc>
          <w:tcPr>
            <w:tcW w:type="dxa" w:w="3120"/>
            <w:tcBorders>
              <w:top w:val="single" w:color="D3D1C7" w:sz="1"/>
              <w:left w:val="single" w:color="D3D1C7" w:sz="1"/>
              <w:bottom w:val="single" w:color="D3D1C7" w:sz="1"/>
              <w:right w:val="single" w:color="D3D1C7" w:sz="1"/>
            </w:tcBorders>
            <w:shd w:fill="0F6E56" w:val="clear"/>
            <w:tcMar>
              <w:top w:type="dxa" w:w="120"/>
              <w:left w:type="dxa" w:w="140"/>
              <w:bottom w:type="dxa" w:w="120"/>
              <w:right w:type="dxa" w:w="140"/>
            </w:tcMar>
          </w:tcPr>
          <w:p>
            <w:pPr>
              <w:spacing w:after="0" w:before="0"/>
            </w:pPr>
            <w:r>
              <w:rPr>
                <w:rFonts w:ascii="Arial" w:cs="Arial" w:eastAsia="Arial" w:hAnsi="Arial"/>
                <w:b/>
                <w:bCs/>
                <w:color w:val="FFFFFF"/>
                <w:sz w:val="22"/>
                <w:szCs w:val="22"/>
              </w:rPr>
              <w:t xml:space="preserve">Why it matters to leadership</w:t>
            </w:r>
          </w:p>
        </w:tc>
      </w:tr>
      <w:tr>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FAISR</w:t>
            </w:r>
          </w:p>
        </w:tc>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First-attempt integration success rate across AI coding tools</w:t>
            </w:r>
          </w:p>
        </w:tc>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Direct predictor of AI-assisted developer adoption. Comparable to competitor benchmarks.</w:t>
            </w:r>
          </w:p>
        </w:tc>
      </w:tr>
      <w:tr>
        <w:tc>
          <w:tcPr>
            <w:tcW w:type="dxa" w:w="312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Amdahl ceiling</w:t>
            </w:r>
          </w:p>
        </w:tc>
        <w:tc>
          <w:tcPr>
            <w:tcW w:type="dxa" w:w="312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Fraction of integration time consumed by human-speed tool interactions</w:t>
            </w:r>
          </w:p>
        </w:tc>
        <w:tc>
          <w:tcPr>
            <w:tcW w:type="dxa" w:w="312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Product roadmap argument. Quantifies the engineering investment needed to compete.</w:t>
            </w:r>
          </w:p>
        </w:tc>
      </w:tr>
      <w:tr>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Recipe coverage</w:t>
            </w:r>
          </w:p>
        </w:tc>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Percentage of common integration tasks with a validated AI prompt recipe</w:t>
            </w:r>
          </w:p>
        </w:tc>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Measures the completeness of the agent ecosystem infrastructure.</w:t>
            </w:r>
          </w:p>
        </w:tc>
      </w:tr>
      <w:tr>
        <w:tc>
          <w:tcPr>
            <w:tcW w:type="dxa" w:w="312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Recipe freshness</w:t>
            </w:r>
          </w:p>
        </w:tc>
        <w:tc>
          <w:tcPr>
            <w:tcW w:type="dxa" w:w="312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Lag between API changes and recipe updates</w:t>
            </w:r>
          </w:p>
        </w:tc>
        <w:tc>
          <w:tcPr>
            <w:tcW w:type="dxa" w:w="312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Measures the operational health of the Agentic Relations program.</w:t>
            </w:r>
          </w:p>
        </w:tc>
      </w:tr>
      <w:tr>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Competitive FAISR delta</w:t>
            </w:r>
          </w:p>
        </w:tc>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Your FAISR versus competitors' FAISR on equivalent tasks</w:t>
            </w:r>
          </w:p>
        </w:tc>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0" w:before="0"/>
            </w:pPr>
            <w:r>
              <w:rPr>
                <w:rFonts w:ascii="Arial" w:cs="Arial" w:eastAsia="Arial" w:hAnsi="Arial"/>
                <w:color w:val="2C2C2A"/>
                <w:sz w:val="20"/>
                <w:szCs w:val="20"/>
              </w:rPr>
              <w:t xml:space="preserve">The board metric. Are we winning or losing the AI-assisted developer experience?</w:t>
            </w:r>
          </w:p>
        </w:tc>
      </w:tr>
    </w:tbl>
    <w:p>
      <w:pPr>
        <w:spacing w:after="320" w:before="0"/>
      </w:pPr>
      <w:r>
        <w:t xml:space="preserve"/>
      </w:r>
    </w:p>
    <w:p>
      <w:pPr>
        <w:pStyle w:val="Heading2"/>
        <w:spacing w:after="160" w:before="400"/>
      </w:pPr>
      <w:r>
        <w:rPr>
          <w:rFonts w:ascii="Arial" w:cs="Arial" w:eastAsia="Arial" w:hAnsi="Arial"/>
          <w:b/>
          <w:bCs/>
          <w:color w:val="1A1A18"/>
          <w:sz w:val="32"/>
          <w:szCs w:val="32"/>
        </w:rPr>
        <w:t xml:space="preserve">The Closing Argument</w:t>
      </w:r>
    </w:p>
    <w:p>
      <w:pPr>
        <w:spacing w:after="160" w:before="0"/>
        <w:jc w:val="left"/>
      </w:pPr>
      <w:r>
        <w:rPr>
          <w:rFonts w:ascii="Arial" w:cs="Arial" w:eastAsia="Arial" w:hAnsi="Arial"/>
          <w:b w:val="false"/>
          <w:bCs w:val="false"/>
          <w:i w:val="false"/>
          <w:iCs w:val="false"/>
          <w:color w:val="2C2C2A"/>
          <w:sz w:val="22"/>
          <w:szCs w:val="22"/>
        </w:rPr>
        <w:t xml:space="preserve">Every major shift in who software serves has required rebuilding the entire stack. The GUI rebuilt it for non-technical humans. The web rebuilt it for anyone with a browser. Mobile rebuilt it for anyone with a phone. AI agents are the next consumer of software infrastructure, and the rebuild is underway.</w:t>
      </w:r>
    </w:p>
    <w:p>
      <w:pPr>
        <w:spacing w:after="160" w:before="0"/>
        <w:jc w:val="left"/>
      </w:pPr>
      <w:r>
        <w:rPr>
          <w:rFonts w:ascii="Arial" w:cs="Arial" w:eastAsia="Arial" w:hAnsi="Arial"/>
          <w:b w:val="false"/>
          <w:bCs w:val="false"/>
          <w:i w:val="false"/>
          <w:iCs w:val="false"/>
          <w:color w:val="2C2C2A"/>
          <w:sz w:val="22"/>
          <w:szCs w:val="22"/>
        </w:rPr>
        <w:t xml:space="preserve">DevRel exists at the interface between platforms and their developers. That means DevRel exists at the interface between the current human-speed world and the agent-native world being built to replace it. Organizations that recognize this are investing in Agentic Relations now. Organizations that do not are discovering the gap when it shows up in adoption data — and the recovery timeline is measured in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single" w:color="1D9E75" w:sz="12"/>
              <w:bottom w:val="single" w:color="1D9E75" w:sz="4"/>
              <w:right w:val="single" w:color="1D9E75" w:sz="4"/>
            </w:tcBorders>
            <w:shd w:fill="E1F5EE" w:val="clear"/>
            <w:tcMar>
              <w:top w:type="dxa" w:w="160"/>
              <w:left w:type="dxa" w:w="200"/>
              <w:bottom w:type="dxa" w:w="160"/>
              <w:right w:type="dxa" w:w="200"/>
            </w:tcMar>
          </w:tcPr>
          <w:p>
            <w:pPr>
              <w:spacing w:after="80" w:before="0"/>
            </w:pPr>
            <w:r>
              <w:rPr>
                <w:rFonts w:ascii="Arial" w:cs="Arial" w:eastAsia="Arial" w:hAnsi="Arial"/>
                <w:b/>
                <w:bCs/>
                <w:color w:val="0F6E56"/>
                <w:sz w:val="20"/>
                <w:szCs w:val="20"/>
              </w:rPr>
              <w:t xml:space="preserve">The question to ask</w:t>
            </w:r>
          </w:p>
          <w:p>
            <w:pPr>
              <w:spacing w:after="0" w:before="0"/>
            </w:pPr>
            <w:r>
              <w:rPr>
                <w:rFonts w:ascii="Arial" w:cs="Arial" w:eastAsia="Arial" w:hAnsi="Arial"/>
                <w:color w:val="2C2C2A"/>
                <w:sz w:val="22"/>
                <w:szCs w:val="22"/>
              </w:rPr>
              <w:t xml:space="preserve">When a developer asks an AI coding tool to integrate with your platform, does it work? If you don't know the answer to that question, your DevRel program is not measuring the most consequential dimension of your developer experience. Agentic Relations is the discipline that makes the answer knowable — and then systematically improves it.</w:t>
            </w:r>
          </w:p>
        </w:tc>
      </w:tr>
    </w:tbl>
    <w:p>
      <w:pPr>
        <w:spacing w:after="320" w:before="0"/>
      </w:pPr>
      <w:r>
        <w:t xml:space="preserve"/>
      </w:r>
    </w:p>
    <w:p>
      <w:pPr>
        <w:spacing w:after="160" w:before="0"/>
        <w:jc w:val="center"/>
      </w:pPr>
      <w:r>
        <w:rPr>
          <w:rFonts w:ascii="Arial" w:cs="Arial" w:eastAsia="Arial" w:hAnsi="Arial"/>
          <w:color w:val="D3D1C7"/>
          <w:sz w:val="22"/>
          <w:szCs w:val="22"/>
        </w:rPr>
        <w:t xml:space="preserve">―――</w:t>
      </w:r>
    </w:p>
    <w:p>
      <w:pPr>
        <w:spacing w:after="0" w:before="0"/>
        <w:jc w:val="left"/>
      </w:pPr>
      <w:r>
        <w:rPr>
          <w:rFonts w:ascii="Arial" w:cs="Arial" w:eastAsia="Arial" w:hAnsi="Arial"/>
          <w:i/>
          <w:iCs/>
          <w:color w:val="5F5E5A"/>
          <w:sz w:val="18"/>
          <w:szCs w:val="18"/>
        </w:rPr>
        <w:t xml:space="preserve">This document is a working artifact from an active body of research on Agentic Relations. It is grounded in the pattern framework developed in Developer Relations Activity Patterns (Neward, McAllister, Neal, Woodruff, 2026) and in the operational architecture developed for EcoSynt — an agent ecosystem health and observability platform. Subsequent work will address individual pattern rewrites, the Agent Champion role in operational depth, and the measurement framework for agent ecosystem health across different platform types.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0" w:before="0"/>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r>
      <w:rPr>
        <w:rFonts w:ascii="Arial" w:cs="Arial" w:eastAsia="Arial" w:hAnsi="Arial"/>
        <w:color w:val="5F5E5A"/>
        <w:sz w:val="18"/>
        <w:szCs w:val="18"/>
      </w:rPr>
      <w:t xml:space="preserve">          ecosynt.io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spacing w:after="0" w:before="0"/>
    </w:pPr>
    <w:r>
      <w:rPr>
        <w:rFonts w:ascii="Arial" w:cs="Arial" w:eastAsia="Arial" w:hAnsi="Arial"/>
        <w:b/>
        <w:bCs/>
        <w:color w:val="0F6E56"/>
        <w:sz w:val="18"/>
        <w:szCs w:val="18"/>
      </w:rPr>
      <w:t xml:space="preserve">AGENTIC RELATIONS</w:t>
    </w:r>
    <w:r>
      <w:rPr>
        <w:rFonts w:ascii="Arial" w:cs="Arial" w:eastAsia="Arial" w:hAnsi="Arial"/>
        <w:color w:val="5F5E5A"/>
        <w:sz w:val="18"/>
        <w:szCs w:val="18"/>
      </w:rPr>
      <w:t xml:space="preserve">  —  Chris Woodruff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6E56"/>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1A1A18"/>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2026-04-18T15:59:03.936Z</dcterms:created>
  <dcterms:modified xsi:type="dcterms:W3CDTF">2026-04-18T15:59:03.938Z</dcterms:modified>
</cp:coreProperties>
</file>

<file path=docProps/custom.xml><?xml version="1.0" encoding="utf-8"?>
<Properties xmlns="http://schemas.openxmlformats.org/officeDocument/2006/custom-properties" xmlns:vt="http://schemas.openxmlformats.org/officeDocument/2006/docPropsVTypes"/>
</file>