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규제형-달러-스테이블코인-기반-b2b-정산-플랫폼-백서-초안"/>
    <w:p>
      <w:pPr>
        <w:pStyle w:val="Heading1"/>
      </w:pPr>
      <w:r>
        <w:t xml:space="preserve">규제형 달러 스테이블코인 기반 B2B 정산 플랫폼 백서 초안</w:t>
      </w:r>
    </w:p>
    <w:bookmarkStart w:id="29" w:name="executive-summary"/>
    <w:p>
      <w:pPr>
        <w:pStyle w:val="Heading2"/>
      </w:pPr>
      <w:r>
        <w:t xml:space="preserve">Executive Summary</w:t>
      </w:r>
    </w:p>
    <w:p>
      <w:pPr>
        <w:pStyle w:val="FirstParagraph"/>
      </w:pPr>
      <w:r>
        <w:t xml:space="preserve">본 초안은 기존의 규제형 달러 스테이블코인—우선적으로 USDC—를 활용해 기업 간 정산, 공급망 대금지급, ESG 금융 관련 지급, 탄소크레딧 거래 결제, 국경간 인보이스 정산을 처리하는 플랫폼의 투자자·파트너용 백서 초안이다. 핵심 전제는</w:t>
      </w:r>
      <w:r>
        <w:t xml:space="preserve"> </w:t>
      </w:r>
      <w:r>
        <w:rPr>
          <w:b/>
          <w:bCs/>
        </w:rPr>
        <w:t xml:space="preserve">자체 스테이블코인을 당장 발행하지 않고</w:t>
      </w:r>
      <w:r>
        <w:t xml:space="preserve">, 이미 준비자산·상환·공시 체계를 갖춘 발행사의 스테이블코인을 사용하며, 플랫폼은</w:t>
      </w:r>
      <w:r>
        <w:t xml:space="preserve"> </w:t>
      </w:r>
      <w:r>
        <w:rPr>
          <w:b/>
          <w:bCs/>
        </w:rPr>
        <w:t xml:space="preserve">기업용 워크플로·지갑·컴플라이언스·정산 오케스트레이션 계층</w:t>
      </w:r>
      <w:r>
        <w:t xml:space="preserve">에 집중한다는 점이다. 이는 규제 리스크를 낮추고, 출시 속도를 높이며, 고객이 실제로 겪는 “느린 정산·높은 중개비용·낮은 투명성·복잡한 재무대사” 문제를 곧바로 해결하는 데 유리하다.</w:t>
      </w:r>
      <w:r>
        <w:t xml:space="preserve"> </w:t>
      </w:r>
      <w:hyperlink r:id="rId21">
        <w:r>
          <w:rPr>
            <w:rStyle w:val="Hyperlink"/>
          </w:rPr>
          <w:t xml:space="preserve">[1]</w:t>
        </w:r>
      </w:hyperlink>
    </w:p>
    <w:p>
      <w:pPr>
        <w:pStyle w:val="BodyText"/>
      </w:pPr>
      <w:r>
        <w:t xml:space="preserve">시장 필요성은 충분히 크다. World Trade Organization</w:t>
      </w:r>
      <w:hyperlink r:id="rId22">
        <w:r>
          <w:rPr>
            <w:rStyle w:val="Hyperlink"/>
          </w:rPr>
          <w:t xml:space="preserve">[2]</w:t>
        </w:r>
      </w:hyperlink>
      <w:r>
        <w:t xml:space="preserve">은 2025년 전 세계 상품·상업서비스 교역이 34.65조 달러로 증가했다고 집계했고, World Bank</w:t>
      </w:r>
      <w:hyperlink r:id="rId23">
        <w:r>
          <w:rPr>
            <w:rStyle w:val="Hyperlink"/>
          </w:rPr>
          <w:t xml:space="preserve">[3]</w:t>
        </w:r>
      </w:hyperlink>
      <w:r>
        <w:t xml:space="preserve">과 International Finance Corporation</w:t>
      </w:r>
      <w:hyperlink r:id="rId24">
        <w:r>
          <w:rPr>
            <w:rStyle w:val="Hyperlink"/>
          </w:rPr>
          <w:t xml:space="preserve">[4]</w:t>
        </w:r>
      </w:hyperlink>
      <w:r>
        <w:t xml:space="preserve">은 중소기업이 전 세계 기업의 약 90%를 차지하지만, 신흥국·개도국 MSME 금융 공백이 5.7조 달러에 달한다고 본다. Asian Development Bank</w:t>
      </w:r>
      <w:hyperlink r:id="rId21">
        <w:r>
          <w:rPr>
            <w:rStyle w:val="Hyperlink"/>
          </w:rPr>
          <w:t xml:space="preserve">[5]</w:t>
        </w:r>
      </w:hyperlink>
      <w:r>
        <w:t xml:space="preserve">은 글로벌 무역금융 갭이 여전히 2.5조 달러 수준이라고 분석한다. 동시에 Financial Stability Board</w:t>
      </w:r>
      <w:hyperlink r:id="rId25">
        <w:r>
          <w:rPr>
            <w:rStyle w:val="Hyperlink"/>
          </w:rPr>
          <w:t xml:space="preserve">[6]</w:t>
        </w:r>
      </w:hyperlink>
      <w:r>
        <w:t xml:space="preserve">의 G20 목표는 2027년까지 소매·기업 국경간 지급의 평균 비용을 1% 이하로 낮추고 75%를 1시간 내 처리하는 것이지만, Bank for International Settlements</w:t>
      </w:r>
      <w:hyperlink r:id="rId26">
        <w:r>
          <w:rPr>
            <w:rStyle w:val="Hyperlink"/>
          </w:rPr>
          <w:t xml:space="preserve">[7]</w:t>
        </w:r>
      </w:hyperlink>
      <w:r>
        <w:t xml:space="preserve">은 많은 최종 이용자가 아직 유의미한 개선을 체감하지 못했다고 지적한다. ESG와 탄소 영역도 확대 중이다. OECD</w:t>
      </w:r>
      <w:hyperlink r:id="rId21">
        <w:r>
          <w:rPr>
            <w:rStyle w:val="Hyperlink"/>
          </w:rPr>
          <w:t xml:space="preserve">[8]</w:t>
        </w:r>
      </w:hyperlink>
      <w:r>
        <w:t xml:space="preserve">에 따르면 2024년 지속가능채권 발행은 기업 5,220억 달러, 공공부문 4,730억 달러였고, 잔액은 총 4.6조 달러 수준이다. IFRS Foundation</w:t>
      </w:r>
      <w:hyperlink r:id="rId27">
        <w:r>
          <w:rPr>
            <w:rStyle w:val="Hyperlink"/>
          </w:rPr>
          <w:t xml:space="preserve">[9]</w:t>
        </w:r>
      </w:hyperlink>
      <w:r>
        <w:t xml:space="preserve">은 2025년 6월 기준 36개 관할이 ISSB 기준을 채택했거나 도입 절차에 있다고 밝혔다. Verra</w:t>
      </w:r>
      <w:hyperlink r:id="rId28">
        <w:r>
          <w:rPr>
            <w:rStyle w:val="Hyperlink"/>
          </w:rPr>
          <w:t xml:space="preserve">[10]</w:t>
        </w:r>
      </w:hyperlink>
      <w:r>
        <w:t xml:space="preserve">와 Gold Standard</w:t>
      </w:r>
      <w:hyperlink r:id="rId22">
        <w:r>
          <w:rPr>
            <w:rStyle w:val="Hyperlink"/>
          </w:rPr>
          <w:t xml:space="preserve">[11]</w:t>
        </w:r>
      </w:hyperlink>
      <w:r>
        <w:t xml:space="preserve">의 공시를 보면, 고품질 탄소크레딧의 발행·은퇴·이전 수요는 여전히 실물경제의 결제 인프라 문제와 맞물려 있다.</w:t>
      </w:r>
      <w:r>
        <w:t xml:space="preserve"> </w:t>
      </w:r>
      <w:hyperlink r:id="rId28">
        <w:r>
          <w:rPr>
            <w:rStyle w:val="Hyperlink"/>
          </w:rPr>
          <w:t xml:space="preserve">[12]</w:t>
        </w:r>
      </w:hyperlink>
    </w:p>
    <w:p>
      <w:pPr>
        <w:pStyle w:val="BodyText"/>
      </w:pPr>
      <w:r>
        <w:t xml:space="preserve">권고되는 초기 사업모델은</w:t>
      </w:r>
      <w:r>
        <w:t xml:space="preserve"> </w:t>
      </w:r>
      <w:r>
        <w:rPr>
          <w:b/>
          <w:bCs/>
        </w:rPr>
        <w:t xml:space="preserve">엔터프라이즈 전용·파트너 주도형</w:t>
      </w:r>
      <w:r>
        <w:t xml:space="preserve">이다. 즉, 플랫폼이 규제 라이선스를 모두 직접 보유한 “풀스택 돈의 이동 사업자”로 시작하기보다, 규제형 스테이블코인 발행사·커스터디·온오프램프·은행·KYC/KYB·블록체인 분석 파트너와 결합해</w:t>
      </w:r>
      <w:r>
        <w:t xml:space="preserve"> </w:t>
      </w:r>
      <w:r>
        <w:rPr>
          <w:b/>
          <w:bCs/>
        </w:rPr>
        <w:t xml:space="preserve">SaaS + 정산 오케스트레이터 + 통합 대시보드</w:t>
      </w:r>
      <w:r>
        <w:t xml:space="preserve">로 진입하는 것이 바람직하다. 이 경우 직접적인 발행 리스크·예치금 리스크·머니트랜스미터 리스크를 줄이면서도, 고객에게는 실시간성·추적성·감사 가능성을 제공할 수 있다.</w:t>
      </w:r>
      <w:r>
        <w:t xml:space="preserve"> </w:t>
      </w:r>
      <w:hyperlink r:id="rId22">
        <w:r>
          <w:rPr>
            <w:rStyle w:val="Hyperlink"/>
          </w:rPr>
          <w:t xml:space="preserve">[13]</w:t>
        </w:r>
      </w:hyperlink>
    </w:p>
    <w:p>
      <w:pPr>
        <w:pStyle w:val="BodyText"/>
      </w:pPr>
      <w:r>
        <w:t xml:space="preserve">본 초안의 기본 재무모형에서는 중간 채택 시나리오 기준 3년 차 매출이 약 2,250만 달러, EBITDA가 약 785만 달러까지 도달하는 것으로 가정했다. 다만 이 수치는 외부 시장 데이터가 아니라</w:t>
      </w:r>
      <w:r>
        <w:t xml:space="preserve"> </w:t>
      </w:r>
      <w:r>
        <w:rPr>
          <w:b/>
          <w:bCs/>
        </w:rPr>
        <w:t xml:space="preserve">본 백서의 제품 범위·가격·채택 속도 가정에 따른 시뮬레이션</w:t>
      </w:r>
      <w:r>
        <w:t xml:space="preserve">이며, 규제 구조와 파트너 계약 조건에 따라 크게 달라질 수 있다.</w:t>
      </w:r>
    </w:p>
    <w:bookmarkEnd w:id="29"/>
    <w:bookmarkStart w:id="30" w:name="assumptions-and-scope"/>
    <w:p>
      <w:pPr>
        <w:pStyle w:val="Heading2"/>
      </w:pPr>
      <w:r>
        <w:t xml:space="preserve">Assumptions and Scope</w:t>
      </w:r>
    </w:p>
    <w:p>
      <w:pPr>
        <w:pStyle w:val="FirstParagraph"/>
      </w:pPr>
      <w:r>
        <w:t xml:space="preserve">이 백서는 아래 가정을 둔다. 첫째, 지주법인은 미국 델라웨어 C-Corp 형태를 가정하되, 초기 12개월은 지갑 수탁·법정화폐 수납·송금·상환의 핵심 행위를 라이선스 보유 파트너에 위임하는 구조를 전제로 한다. 둘째, 초기 핵심 자산은</w:t>
      </w:r>
      <w:r>
        <w:t xml:space="preserve"> </w:t>
      </w:r>
      <w:r>
        <w:rPr>
          <w:b/>
          <w:bCs/>
        </w:rPr>
        <w:t xml:space="preserve">기존 규제형 달러 스테이블코인</w:t>
      </w:r>
      <w:r>
        <w:t xml:space="preserve">이며, 자체 네이티브 토큰은 발행하지 않는다. 셋째, 고객군은 개인이 아닌 기업이다. 넷째, 1차 진출 회랑은 한국 수출기업과 미국·EU 거래 상대방 사이의 인보이스 정산, 그리고 ESG 컨설팅·탄소 브로커·핀테크 대상 API 제공이다. 다섯째, MVP에서는 탄소크레딧 자체의 신규 토큰화를 핵심 범위에 넣지 않고,</w:t>
      </w:r>
      <w:r>
        <w:t xml:space="preserve"> </w:t>
      </w:r>
      <w:r>
        <w:rPr>
          <w:b/>
          <w:bCs/>
        </w:rPr>
        <w:t xml:space="preserve">기존 레지스트리 기반 거래의 대금결제·대사·증빙</w:t>
      </w:r>
      <w:r>
        <w:t xml:space="preserve">을 먼저 해결한다.</w:t>
      </w:r>
    </w:p>
    <w:p>
      <w:pPr>
        <w:pStyle w:val="BodyText"/>
      </w:pPr>
      <w:r>
        <w:t xml:space="preserve">이 범위 설정은 현재 규제 환경과도 정합적이다. Circle</w:t>
      </w:r>
      <w:hyperlink r:id="rId24">
        <w:r>
          <w:rPr>
            <w:rStyle w:val="Hyperlink"/>
          </w:rPr>
          <w:t xml:space="preserve">[14]</w:t>
        </w:r>
      </w:hyperlink>
      <w:r>
        <w:t xml:space="preserve">의 문서에 따르면 USDC는 100% 현금 및 현금성 자산으로 뒷받침되고 1:1 상환을 목표로 하며, EEA에서는 전자화폐토큰(EMT) 백서와 상환정책이 제공된다. 즉, 초기 플랫폼은 “새로운 화폐를 만드는 사업”이 아니라 “기존 규제형 디지털달러를 기업 워크플로에 안전하게 연결하는 사업”으로 정의할 수 있다.</w:t>
      </w:r>
      <w:r>
        <w:t xml:space="preserve"> </w:t>
      </w:r>
      <w:hyperlink r:id="rId21">
        <w:r>
          <w:rPr>
            <w:rStyle w:val="Hyperlink"/>
          </w:rPr>
          <w:t xml:space="preserve">[15]</w:t>
        </w:r>
      </w:hyperlink>
    </w:p>
    <w:bookmarkEnd w:id="30"/>
    <w:bookmarkStart w:id="34" w:name="problem-statement-and-market-need"/>
    <w:p>
      <w:pPr>
        <w:pStyle w:val="Heading2"/>
      </w:pPr>
      <w:r>
        <w:t xml:space="preserve">Problem Statement and Market Need</w:t>
      </w:r>
    </w:p>
    <w:p>
      <w:pPr>
        <w:pStyle w:val="FirstParagraph"/>
      </w:pPr>
      <w:r>
        <w:t xml:space="preserve">기존 B2B 정산은 여전히 느리고, 비영업시간 의존성이 높고, 중개기관이 많으며, 수수료와 환전 스프레드가 사전에 명확하지 않은 경우가 많다. 이에 따라 기업은 선입금(prefunding), 운전자본 묶임, 수취까지의 가시성 부족, 재무팀의 수동 대사를 감수한다. FSB는 2027년까지 국경간 전자지급의 비용·속도·투명성 목표를 제시했지만, BIS는 아직 많은 이용자가 의미 있는 개선을 체감하지 못한다고 평가했다. 이는 곧</w:t>
      </w:r>
      <w:r>
        <w:t xml:space="preserve"> </w:t>
      </w:r>
      <w:r>
        <w:rPr>
          <w:b/>
          <w:bCs/>
        </w:rPr>
        <w:t xml:space="preserve">“더 빠른 레일” 자체보다, 규제준수와 대사까지 포함한 엔드투엔드 운영 플랫폼</w:t>
      </w:r>
      <w:r>
        <w:t xml:space="preserve">이 필요하다는 뜻이다.</w:t>
      </w:r>
      <w:r>
        <w:t xml:space="preserve"> </w:t>
      </w:r>
      <w:hyperlink r:id="rId31">
        <w:r>
          <w:rPr>
            <w:rStyle w:val="Hyperlink"/>
          </w:rPr>
          <w:t xml:space="preserve">[16]</w:t>
        </w:r>
      </w:hyperlink>
    </w:p>
    <w:p>
      <w:pPr>
        <w:pStyle w:val="BodyText"/>
      </w:pPr>
      <w:r>
        <w:t xml:space="preserve">기업 세그먼트별 수요도 명확하다. 중소기업·수출기업은 가장 큰 고객군이다. 세계은행은 중소기업이 전 세계 기업의 약 90%, 고용의 절반 이상을 차지한다고 보고하고, IFC는 MSME 금융갭이 5.7조 달러라고 본다. ADB는 무역금융 갭이 2.5조 달러 수준이라고 추정한다. 이는 단순 대출 공급의 문제가 아니라,</w:t>
      </w:r>
      <w:r>
        <w:t xml:space="preserve"> </w:t>
      </w:r>
      <w:r>
        <w:rPr>
          <w:b/>
          <w:bCs/>
        </w:rPr>
        <w:t xml:space="preserve">무역서류·인보이스·지급확정·정산기한</w:t>
      </w:r>
      <w:r>
        <w:t xml:space="preserve">이 모두 연결된 운영 마찰의 문제다.</w:t>
      </w:r>
      <w:r>
        <w:t xml:space="preserve"> </w:t>
      </w:r>
      <w:hyperlink r:id="rId27">
        <w:r>
          <w:rPr>
            <w:rStyle w:val="Hyperlink"/>
          </w:rPr>
          <w:t xml:space="preserve">[17]</w:t>
        </w:r>
      </w:hyperlink>
    </w:p>
    <w:p>
      <w:pPr>
        <w:pStyle w:val="BodyText"/>
      </w:pPr>
      <w:r>
        <w:t xml:space="preserve">ESG 및 탄소 부문도 실질적 진입 포인트다. OECD에 따르면 2024년 지속가능채권 발행은 총 9,950억 달러, 잔액은 4.6조 달러 수준이며, 검증·보고·성과연동의 중요성이 커지고 있다. IFRS Foundation은 ISSB 기준 채택·도입 절차가 36개 관할로 확대됐다고 밝혔다. 탄소 시장 측면에서는 세계은행이 2024년 탄소가격제 수입이 1,000억 달러를 넘었고, 미은퇴 크레딧 풀이 거의 10억 톤 수준이라고 집계한다. 한국은행도 2024년 말 한국거래소와의 모의실험에서 토큰화 탄소배출권과 토큰화된 결제수단의 동시이전을 점검했다고 밝혔다. 이 신호는 “탄소를 새로 발행하는 플랫폼”보다 “기존 거래를 더 빠르고 감사 가능하게 결제하는 플랫폼”의 사업 타당성을 강화한다.</w:t>
      </w:r>
      <w:r>
        <w:t xml:space="preserve"> </w:t>
      </w:r>
      <w:hyperlink r:id="rId32">
        <w:r>
          <w:rPr>
            <w:rStyle w:val="Hyperlink"/>
          </w:rPr>
          <w:t xml:space="preserve">[18]</w:t>
        </w:r>
      </w:hyperlink>
    </w:p>
    <w:bookmarkStart w:id="33" w:name="target-customer-segments"/>
    <w:p>
      <w:pPr>
        <w:pStyle w:val="Heading3"/>
      </w:pPr>
      <w:r>
        <w:t xml:space="preserve">Target Customer Segments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세그먼트</w:t>
            </w:r>
          </w:p>
        </w:tc>
        <w:tc>
          <w:tcPr/>
          <w:p>
            <w:pPr>
              <w:pStyle w:val="Compact"/>
            </w:pPr>
            <w:r>
              <w:t xml:space="preserve">핵심 문제</w:t>
            </w:r>
          </w:p>
        </w:tc>
        <w:tc>
          <w:tcPr/>
          <w:p>
            <w:pPr>
              <w:pStyle w:val="Compact"/>
            </w:pPr>
            <w:r>
              <w:t xml:space="preserve">외부 수요 신호</w:t>
            </w:r>
          </w:p>
        </w:tc>
        <w:tc>
          <w:tcPr/>
          <w:p>
            <w:pPr>
              <w:pStyle w:val="Compact"/>
            </w:pPr>
            <w:r>
              <w:t xml:space="preserve">초기 제안가치</w:t>
            </w:r>
          </w:p>
        </w:tc>
      </w:tr>
      <w:tr>
        <w:tc>
          <w:tcPr/>
          <w:p>
            <w:pPr>
              <w:pStyle w:val="Compact"/>
            </w:pPr>
            <w:r>
              <w:t xml:space="preserve">SME 및 수출기업</w:t>
            </w:r>
          </w:p>
        </w:tc>
        <w:tc>
          <w:tcPr/>
          <w:p>
            <w:pPr>
              <w:pStyle w:val="Compact"/>
            </w:pPr>
            <w:r>
              <w:t xml:space="preserve">송금 지연, 선입금, 불투명한 FX/수수료, 수동 대사</w:t>
            </w:r>
          </w:p>
        </w:tc>
        <w:tc>
          <w:tcPr/>
          <w:p>
            <w:pPr>
              <w:pStyle w:val="Compact"/>
            </w:pPr>
            <w:r>
              <w:t xml:space="preserve">글로벌 교역 34.65조 달러, MSME 금융갭 5.7조 달러, 무역금융갭 2.5조 달러</w:t>
            </w:r>
          </w:p>
        </w:tc>
        <w:tc>
          <w:tcPr/>
          <w:p>
            <w:pPr>
              <w:pStyle w:val="Compact"/>
            </w:pPr>
            <w:r>
              <w:t xml:space="preserve">인보이스 업로드 기반 실시간 정산, 자동 대사, 비용 가시화</w:t>
            </w:r>
          </w:p>
        </w:tc>
      </w:tr>
      <w:tr>
        <w:tc>
          <w:tcPr/>
          <w:p>
            <w:pPr>
              <w:pStyle w:val="Compact"/>
            </w:pPr>
            <w:r>
              <w:t xml:space="preserve">ESG 컨설팅·검증 기관</w:t>
            </w:r>
          </w:p>
        </w:tc>
        <w:tc>
          <w:tcPr/>
          <w:p>
            <w:pPr>
              <w:pStyle w:val="Compact"/>
            </w:pPr>
            <w:r>
              <w:t xml:space="preserve">프로젝트별 지급증빙, 다국적 고객 청구, 보고연동</w:t>
            </w:r>
          </w:p>
        </w:tc>
        <w:tc>
          <w:tcPr/>
          <w:p>
            <w:pPr>
              <w:pStyle w:val="Compact"/>
            </w:pPr>
            <w:r>
              <w:t xml:space="preserve">지속가능채권 발행 9,950억 달러, ISSB 도입 확산</w:t>
            </w:r>
          </w:p>
        </w:tc>
        <w:tc>
          <w:tcPr/>
          <w:p>
            <w:pPr>
              <w:pStyle w:val="Compact"/>
            </w:pPr>
            <w:r>
              <w:t xml:space="preserve">프로젝트/성과 단위 청구·수취·정산 추적</w:t>
            </w:r>
          </w:p>
        </w:tc>
      </w:tr>
      <w:tr>
        <w:tc>
          <w:tcPr/>
          <w:p>
            <w:pPr>
              <w:pStyle w:val="Compact"/>
            </w:pPr>
            <w:r>
              <w:t xml:space="preserve">탄소 브로커·중개 플랫폼</w:t>
            </w:r>
          </w:p>
        </w:tc>
        <w:tc>
          <w:tcPr/>
          <w:p>
            <w:pPr>
              <w:pStyle w:val="Compact"/>
            </w:pPr>
            <w:r>
              <w:t xml:space="preserve">OTC 결제 마찰, 결제-인도 분리, 감사흔적 부족</w:t>
            </w:r>
          </w:p>
        </w:tc>
        <w:tc>
          <w:tcPr/>
          <w:p>
            <w:pPr>
              <w:pStyle w:val="Compact"/>
            </w:pPr>
            <w:r>
              <w:t xml:space="preserve">탄소가격제 수입 1,000억 달러+, 미은퇴 크레딧 약 10억 톤</w:t>
            </w:r>
          </w:p>
        </w:tc>
        <w:tc>
          <w:tcPr/>
          <w:p>
            <w:pPr>
              <w:pStyle w:val="Compact"/>
            </w:pPr>
            <w:r>
              <w:t xml:space="preserve">크레딧 이전과 결제 이벤트를 연결한 DvP형 워크플로</w:t>
            </w:r>
          </w:p>
        </w:tc>
      </w:tr>
      <w:tr>
        <w:tc>
          <w:tcPr/>
          <w:p>
            <w:pPr>
              <w:pStyle w:val="Compact"/>
            </w:pPr>
            <w:r>
              <w:t xml:space="preserve">핀테크·PSP</w:t>
            </w:r>
          </w:p>
        </w:tc>
        <w:tc>
          <w:tcPr/>
          <w:p>
            <w:pPr>
              <w:pStyle w:val="Compact"/>
            </w:pPr>
            <w:r>
              <w:t xml:space="preserve">화이트라벨 정산 레일 부재, 글로벌 온오프램프 부족</w:t>
            </w:r>
          </w:p>
        </w:tc>
        <w:tc>
          <w:tcPr/>
          <w:p>
            <w:pPr>
              <w:pStyle w:val="Compact"/>
            </w:pPr>
            <w:r>
              <w:t xml:space="preserve">G20 지급개선 목표와 실제 체감 간 괴리</w:t>
            </w:r>
          </w:p>
        </w:tc>
        <w:tc>
          <w:tcPr/>
          <w:p>
            <w:pPr>
              <w:pStyle w:val="Compact"/>
            </w:pPr>
            <w:r>
              <w:t xml:space="preserve">API/임베디드 정산, 커스터디·컴플라이언스 파트너 번들</w:t>
            </w:r>
          </w:p>
        </w:tc>
      </w:tr>
    </w:tbl>
    <w:p>
      <w:pPr>
        <w:pStyle w:val="BodyText"/>
      </w:pPr>
      <w:r>
        <w:rPr>
          <w:i/>
          <w:iCs/>
        </w:rPr>
        <w:t xml:space="preserve">주요 근거: WTO, World Bank, IFC, ADB, OECD, IFRS Foundation, World Bank, BOK.</w:t>
      </w:r>
      <w:r>
        <w:t xml:space="preserve"> </w:t>
      </w:r>
      <w:hyperlink r:id="rId28">
        <w:r>
          <w:rPr>
            <w:rStyle w:val="Hyperlink"/>
          </w:rPr>
          <w:t xml:space="preserve">[19]</w:t>
        </w:r>
      </w:hyperlink>
    </w:p>
    <w:bookmarkEnd w:id="33"/>
    <w:bookmarkEnd w:id="34"/>
    <w:bookmarkStart w:id="38" w:name="product-description-and-user-flows"/>
    <w:p>
      <w:pPr>
        <w:pStyle w:val="Heading2"/>
      </w:pPr>
      <w:r>
        <w:t xml:space="preserve">Product Description and User Flows</w:t>
      </w:r>
    </w:p>
    <w:p>
      <w:pPr>
        <w:pStyle w:val="FirstParagraph"/>
      </w:pPr>
      <w:r>
        <w:t xml:space="preserve">Platform X의 제품은 다섯 가지 모듈로 구성된다. 첫째,</w:t>
      </w:r>
      <w:r>
        <w:t xml:space="preserve"> </w:t>
      </w:r>
      <w:r>
        <w:rPr>
          <w:b/>
          <w:bCs/>
        </w:rPr>
        <w:t xml:space="preserve">대시보드</w:t>
      </w:r>
      <w:r>
        <w:t xml:space="preserve">는 잔액, 파이프라인, 승인대기, 실패거래, 규제 알림, 대사 상태를 한 화면에 보여준다. 둘째,</w:t>
      </w:r>
      <w:r>
        <w:t xml:space="preserve"> </w:t>
      </w:r>
      <w:r>
        <w:rPr>
          <w:b/>
          <w:bCs/>
        </w:rPr>
        <w:t xml:space="preserve">지갑 관리</w:t>
      </w:r>
      <w:r>
        <w:t xml:space="preserve">는 기업별 운영지갑·정산지갑·준비금 지갑을 구분하고 다중승인 정책을 적용한다. 셋째,</w:t>
      </w:r>
      <w:r>
        <w:t xml:space="preserve"> </w:t>
      </w:r>
      <w:r>
        <w:rPr>
          <w:b/>
          <w:bCs/>
        </w:rPr>
        <w:t xml:space="preserve">인보이스 업로드</w:t>
      </w:r>
      <w:r>
        <w:t xml:space="preserve">는 PDF/XML/CSV/ERP 연동을 통해 청구정보를 표준화하고, 결제 참조번호·해시값·메타데이터를 생성한다. 넷째,</w:t>
      </w:r>
      <w:r>
        <w:t xml:space="preserve"> </w:t>
      </w:r>
      <w:r>
        <w:rPr>
          <w:b/>
          <w:bCs/>
        </w:rPr>
        <w:t xml:space="preserve">정산 플로우</w:t>
      </w:r>
      <w:r>
        <w:t xml:space="preserve">는 KYB/KYC·제재 스크리닝·지갑 검증·온램프·온체인 전송·오프램프를 오케스트레이션한다. 다섯째,</w:t>
      </w:r>
      <w:r>
        <w:t xml:space="preserve"> </w:t>
      </w:r>
      <w:r>
        <w:rPr>
          <w:b/>
          <w:bCs/>
        </w:rPr>
        <w:t xml:space="preserve">재무대사</w:t>
      </w:r>
      <w:r>
        <w:t xml:space="preserve">는 온체인 트랜잭션, 은행 입출금, 수수료, 환율, 회계분개를 하나의 원장으로 묶는다.</w:t>
      </w:r>
      <w:r>
        <w:t xml:space="preserve"> </w:t>
      </w:r>
      <w:hyperlink r:id="rId23">
        <w:r>
          <w:rPr>
            <w:rStyle w:val="Hyperlink"/>
          </w:rPr>
          <w:t xml:space="preserve">[20]</w:t>
        </w:r>
      </w:hyperlink>
    </w:p>
    <w:p>
      <w:pPr>
        <w:pStyle w:val="BodyText"/>
      </w:pPr>
      <w:r>
        <w:t xml:space="preserve">권장 UX는 “복잡한 블록체인 앱”이 아니라</w:t>
      </w:r>
      <w:r>
        <w:t xml:space="preserve"> </w:t>
      </w:r>
      <w:r>
        <w:rPr>
          <w:b/>
          <w:bCs/>
        </w:rPr>
        <w:t xml:space="preserve">기업용 재무 워크벤치</w:t>
      </w:r>
      <w:r>
        <w:t xml:space="preserve">여야 한다. 사용자는 토큰 심볼과 체인 선택보다 “청구서가 입금됐는가, 누구 승인 대기인가, 상대방이 수취했는가, ERP에 어떤 분개가 올라갔는가”를 더 중시한다. 따라서 체인·가스·브리지·주소 형식은 되도록 숨기고, 사용자는 금액·통화·상대방·정산기한·증빙만 다루게 해야 한다.</w:t>
      </w:r>
    </w:p>
    <w:p>
      <w:pPr>
        <w:pStyle w:val="SourceCode"/>
      </w:pPr>
      <w:r>
        <w:rPr>
          <w:rStyle w:val="VerbatimChar"/>
        </w:rPr>
        <w:t xml:space="preserve">flowchart LR</w:t>
      </w:r>
      <w:r>
        <w:br/>
      </w:r>
      <w:r>
        <w:rPr>
          <w:rStyle w:val="VerbatimChar"/>
        </w:rPr>
        <w:t xml:space="preserve">    A[구매기업 또는 지급기업] --&gt; B[인보이스 업로드 / ERP 연동]</w:t>
      </w:r>
      <w:r>
        <w:br/>
      </w:r>
      <w:r>
        <w:rPr>
          <w:rStyle w:val="VerbatimChar"/>
        </w:rPr>
        <w:t xml:space="preserve">    B --&gt; C[담당자 검토]</w:t>
      </w:r>
      <w:r>
        <w:br/>
      </w:r>
      <w:r>
        <w:rPr>
          <w:rStyle w:val="VerbatimChar"/>
        </w:rPr>
        <w:t xml:space="preserve">    C --&gt; D[KYB/KYC 및 제재 스크리닝]</w:t>
      </w:r>
      <w:r>
        <w:br/>
      </w:r>
      <w:r>
        <w:rPr>
          <w:rStyle w:val="VerbatimChar"/>
        </w:rPr>
        <w:t xml:space="preserve">    D --&gt; E[정산 견적 생성]</w:t>
      </w:r>
      <w:r>
        <w:br/>
      </w:r>
      <w:r>
        <w:rPr>
          <w:rStyle w:val="VerbatimChar"/>
        </w:rPr>
        <w:t xml:space="preserve">    E --&gt; F{지급수단}</w:t>
      </w:r>
      <w:r>
        <w:br/>
      </w:r>
      <w:r>
        <w:rPr>
          <w:rStyle w:val="VerbatimChar"/>
        </w:rPr>
        <w:t xml:space="preserve">    F --&gt;|법정화폐 입금| G[온램프 / USDC 조달]</w:t>
      </w:r>
      <w:r>
        <w:br/>
      </w:r>
      <w:r>
        <w:rPr>
          <w:rStyle w:val="VerbatimChar"/>
        </w:rPr>
        <w:t xml:space="preserve">    F --&gt;|기보유 USDC| H[지갑 잔액 확인]</w:t>
      </w:r>
      <w:r>
        <w:br/>
      </w:r>
      <w:r>
        <w:rPr>
          <w:rStyle w:val="VerbatimChar"/>
        </w:rPr>
        <w:t xml:space="preserve">    G --&gt; I[지급 승인]</w:t>
      </w:r>
      <w:r>
        <w:br/>
      </w:r>
      <w:r>
        <w:rPr>
          <w:rStyle w:val="VerbatimChar"/>
        </w:rPr>
        <w:t xml:space="preserve">    H --&gt; I</w:t>
      </w:r>
      <w:r>
        <w:br/>
      </w:r>
      <w:r>
        <w:rPr>
          <w:rStyle w:val="VerbatimChar"/>
        </w:rPr>
        <w:t xml:space="preserve">    I --&gt; J[온체인 전송]</w:t>
      </w:r>
      <w:r>
        <w:br/>
      </w:r>
      <w:r>
        <w:rPr>
          <w:rStyle w:val="VerbatimChar"/>
        </w:rPr>
        <w:t xml:space="preserve">    J --&gt; K[상대방 수취 확인]</w:t>
      </w:r>
      <w:r>
        <w:br/>
      </w:r>
      <w:r>
        <w:rPr>
          <w:rStyle w:val="VerbatimChar"/>
        </w:rPr>
        <w:t xml:space="preserve">    K --&gt; L[오프램프 또는 보유]</w:t>
      </w:r>
      <w:r>
        <w:br/>
      </w:r>
      <w:r>
        <w:rPr>
          <w:rStyle w:val="VerbatimChar"/>
        </w:rPr>
        <w:t xml:space="preserve">    L --&gt; M[대사 / 회계분개 / 증빙보관]</w:t>
      </w:r>
    </w:p>
    <w:p>
      <w:pPr>
        <w:pStyle w:val="FirstParagraph"/>
      </w:pPr>
      <w:r>
        <w:t xml:space="preserve">실무적으로는</w:t>
      </w:r>
      <w:r>
        <w:t xml:space="preserve"> </w:t>
      </w:r>
      <w:r>
        <w:rPr>
          <w:b/>
          <w:bCs/>
        </w:rPr>
        <w:t xml:space="preserve">결제 참조값</w:t>
      </w:r>
      <w:r>
        <w:t xml:space="preserve">이 매우 중요하다. 예컨대 Solana</w:t>
      </w:r>
      <w:hyperlink r:id="rId35">
        <w:r>
          <w:rPr>
            <w:rStyle w:val="Hyperlink"/>
          </w:rPr>
          <w:t xml:space="preserve">[21]</w:t>
        </w:r>
      </w:hyperlink>
      <w:r>
        <w:t xml:space="preserve"> </w:t>
      </w:r>
      <w:r>
        <w:t xml:space="preserve">문서는 메모 프로그램을 통해 인보이스 번호·주문번호·커스텀 참조값을 온체인 로그에 남겨 내부 시스템 대사를 쉽게 할 수 있다고 설명한다. EVM 계열에서는 이벤트 로그와 오프체인 해시 참조를 조합하면 동일한 효과를 구현할 수 있다.</w:t>
      </w:r>
      <w:r>
        <w:t xml:space="preserve"> </w:t>
      </w:r>
      <w:hyperlink r:id="rId36">
        <w:r>
          <w:rPr>
            <w:rStyle w:val="Hyperlink"/>
          </w:rPr>
          <w:t xml:space="preserve">[22]</w:t>
        </w:r>
      </w:hyperlink>
    </w:p>
    <w:bookmarkStart w:id="37" w:name="recommended-enterprise-flow"/>
    <w:p>
      <w:pPr>
        <w:pStyle w:val="Heading3"/>
      </w:pPr>
      <w:r>
        <w:t xml:space="preserve">Recommended Enterprise Flow</w:t>
      </w:r>
    </w:p>
    <w:p>
      <w:pPr>
        <w:pStyle w:val="FirstParagraph"/>
      </w:pPr>
      <w:r>
        <w:t xml:space="preserve">운영 관점에서 권장되는 흐름은 다음과 같다. 고객사가 첫 거래 전 KYB를 완료하고, UBO와 제재 스크리닝을 통과하면 전용 워크스페이스와 결제정책이 생성된다. 이후 사용자는 인보이스를 업로드하거나 ERP로부터 청구데이터를 수신하고, 상대방 지갑 또는 은행 계좌를 등록한다. 시스템은 체인별 수수료·환율·결제 예상시각·규제 플래그를 보여주고, 내부 승인 완료 후 정산을 실행한다. 정산이 완료되면 거래 해시, 회계용 참조번호, 환전내역, 수수료 내역이 자동으로 첨부된다. 이 구조는 CFO/재무팀과 운영팀 모두에 맞다.</w:t>
      </w:r>
    </w:p>
    <w:bookmarkEnd w:id="37"/>
    <w:bookmarkEnd w:id="38"/>
    <w:bookmarkStart w:id="41" w:name="technical-architecture"/>
    <w:p>
      <w:pPr>
        <w:pStyle w:val="Heading2"/>
      </w:pPr>
      <w:r>
        <w:t xml:space="preserve">Technical Architecture</w:t>
      </w:r>
    </w:p>
    <w:p>
      <w:pPr>
        <w:pStyle w:val="FirstParagraph"/>
      </w:pPr>
      <w:r>
        <w:t xml:space="preserve">핵심 기술 원칙은 세 가지다. 첫째,</w:t>
      </w:r>
      <w:r>
        <w:t xml:space="preserve"> </w:t>
      </w:r>
      <w:r>
        <w:rPr>
          <w:b/>
          <w:bCs/>
        </w:rPr>
        <w:t xml:space="preserve">최소한의 온체인 로직</w:t>
      </w:r>
      <w:r>
        <w:t xml:space="preserve">: 단순 송금으로 해결되는 흐름에 불필요한 스마트컨트랙트를 추가하지 않는다. 둘째,</w:t>
      </w:r>
      <w:r>
        <w:t xml:space="preserve"> </w:t>
      </w:r>
      <w:r>
        <w:rPr>
          <w:b/>
          <w:bCs/>
        </w:rPr>
        <w:t xml:space="preserve">파트너 주도 수탁과 법정화폐 레일</w:t>
      </w:r>
      <w:r>
        <w:t xml:space="preserve">: 민감한 키관리, 상환, 은행 정산은 검증된 사업자와 결합한다. 셋째,</w:t>
      </w:r>
      <w:r>
        <w:t xml:space="preserve"> </w:t>
      </w:r>
      <w:r>
        <w:rPr>
          <w:b/>
          <w:bCs/>
        </w:rPr>
        <w:t xml:space="preserve">온체인 공개성 + 오프체인 프라이버시</w:t>
      </w:r>
      <w:r>
        <w:t xml:space="preserve">: 퍼블릭체인의 감사 가능성을 활용하되, 인보이스 원문과 개인정보는 체인에 올리지 않는다.</w:t>
      </w:r>
      <w:r>
        <w:t xml:space="preserve"> </w:t>
      </w:r>
      <w:hyperlink r:id="rId26">
        <w:r>
          <w:rPr>
            <w:rStyle w:val="Hyperlink"/>
          </w:rPr>
          <w:t xml:space="preserve">[23]</w:t>
        </w:r>
      </w:hyperlink>
    </w:p>
    <w:p>
      <w:pPr>
        <w:pStyle w:val="SourceCode"/>
      </w:pPr>
      <w:r>
        <w:rPr>
          <w:rStyle w:val="VerbatimChar"/>
        </w:rPr>
        <w:t xml:space="preserve">flowchart TB</w:t>
      </w:r>
      <w:r>
        <w:br/>
      </w:r>
      <w:r>
        <w:rPr>
          <w:rStyle w:val="VerbatimChar"/>
        </w:rPr>
        <w:t xml:space="preserve">    UI[웹 대시보드 / API] --&gt; ORCH[워크플로 오케스트레이터]</w:t>
      </w:r>
      <w:r>
        <w:br/>
      </w:r>
      <w:r>
        <w:rPr>
          <w:rStyle w:val="VerbatimChar"/>
        </w:rPr>
        <w:t xml:space="preserve">    UI --&gt; AUTH[RBAC / 승인 정책]</w:t>
      </w:r>
      <w:r>
        <w:br/>
      </w:r>
      <w:r>
        <w:rPr>
          <w:rStyle w:val="VerbatimChar"/>
        </w:rPr>
        <w:t xml:space="preserve">    ORCH --&gt; INV[인보이스 파서 / 참조ID 생성]</w:t>
      </w:r>
      <w:r>
        <w:br/>
      </w:r>
      <w:r>
        <w:rPr>
          <w:rStyle w:val="VerbatimChar"/>
        </w:rPr>
        <w:t xml:space="preserve">    ORCH --&gt; COMP[KYB/KYC / 제재 / 체인 분석 엔진]</w:t>
      </w:r>
      <w:r>
        <w:br/>
      </w:r>
      <w:r>
        <w:rPr>
          <w:rStyle w:val="VerbatimChar"/>
        </w:rPr>
        <w:t xml:space="preserve">    ORCH --&gt; LEDGER[내부 원장 / 대사 엔진]</w:t>
      </w:r>
      <w:r>
        <w:br/>
      </w:r>
      <w:r>
        <w:rPr>
          <w:rStyle w:val="VerbatimChar"/>
        </w:rPr>
        <w:t xml:space="preserve">    ORCH --&gt; CUST[커스터디 / MPC 지갑]</w:t>
      </w:r>
      <w:r>
        <w:br/>
      </w:r>
      <w:r>
        <w:rPr>
          <w:rStyle w:val="VerbatimChar"/>
        </w:rPr>
        <w:t xml:space="preserve">    ORCH --&gt; RAIL[온램프·오프램프 / 은행 파트너]</w:t>
      </w:r>
      <w:r>
        <w:br/>
      </w:r>
      <w:r>
        <w:rPr>
          <w:rStyle w:val="VerbatimChar"/>
        </w:rPr>
        <w:t xml:space="preserve">    CUST --&gt; CHAIN[퍼블릭 블록체인 네트워크]</w:t>
      </w:r>
      <w:r>
        <w:br/>
      </w:r>
      <w:r>
        <w:rPr>
          <w:rStyle w:val="VerbatimChar"/>
        </w:rPr>
        <w:t xml:space="preserve">    CHAIN --&gt; OBS[트랜잭션 이벤트 / 모니터링]</w:t>
      </w:r>
      <w:r>
        <w:br/>
      </w:r>
      <w:r>
        <w:rPr>
          <w:rStyle w:val="VerbatimChar"/>
        </w:rPr>
        <w:t xml:space="preserve">    OBS --&gt; LEDGER</w:t>
      </w:r>
      <w:r>
        <w:br/>
      </w:r>
      <w:r>
        <w:rPr>
          <w:rStyle w:val="VerbatimChar"/>
        </w:rPr>
        <w:t xml:space="preserve">    INV --&gt; DATA[암호화 문서저장소]</w:t>
      </w:r>
      <w:r>
        <w:br/>
      </w:r>
      <w:r>
        <w:rPr>
          <w:rStyle w:val="VerbatimChar"/>
        </w:rPr>
        <w:t xml:space="preserve">    COMP --&gt; CASE[케이스 관리 / STR·SAR 워크플로]</w:t>
      </w:r>
      <w:r>
        <w:br/>
      </w:r>
      <w:r>
        <w:rPr>
          <w:rStyle w:val="VerbatimChar"/>
        </w:rPr>
        <w:t xml:space="preserve">    LEDGER --&gt; ERP[ERP / 회계 시스템]</w:t>
      </w:r>
    </w:p>
    <w:bookmarkStart w:id="39" w:name="blockchain-options"/>
    <w:p>
      <w:pPr>
        <w:pStyle w:val="Heading3"/>
      </w:pPr>
      <w:r>
        <w:t xml:space="preserve">Blockchain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옵션</w:t>
            </w:r>
          </w:p>
        </w:tc>
        <w:tc>
          <w:tcPr/>
          <w:p>
            <w:pPr>
              <w:pStyle w:val="Compact"/>
            </w:pPr>
            <w:r>
              <w:t xml:space="preserve">장점</w:t>
            </w:r>
          </w:p>
        </w:tc>
        <w:tc>
          <w:tcPr/>
          <w:p>
            <w:pPr>
              <w:pStyle w:val="Compact"/>
            </w:pPr>
            <w:r>
              <w:t xml:space="preserve">한계</w:t>
            </w:r>
          </w:p>
        </w:tc>
        <w:tc>
          <w:tcPr/>
          <w:p>
            <w:pPr>
              <w:pStyle w:val="Compact"/>
            </w:pPr>
            <w:r>
              <w:t xml:space="preserve">권고 역할</w:t>
            </w:r>
          </w:p>
        </w:tc>
      </w:tr>
      <w:tr>
        <w:tc>
          <w:tcPr/>
          <w:p>
            <w:pPr>
              <w:pStyle w:val="Compact"/>
            </w:pPr>
            <w:r>
              <w:t xml:space="preserve">Ethereum Mainnet</w:t>
            </w:r>
          </w:p>
        </w:tc>
        <w:tc>
          <w:tcPr/>
          <w:p>
            <w:pPr>
              <w:pStyle w:val="Compact"/>
            </w:pPr>
            <w:r>
              <w:t xml:space="preserve">가장 보수적인 정산 신뢰, 광범위한 기관 친화 생태계</w:t>
            </w:r>
          </w:p>
        </w:tc>
        <w:tc>
          <w:tcPr/>
          <w:p>
            <w:pPr>
              <w:pStyle w:val="Compact"/>
            </w:pPr>
            <w:r>
              <w:t xml:space="preserve">수수료가 상대적으로 높고 혼잡 시 UX 저하 가능</w:t>
            </w:r>
          </w:p>
        </w:tc>
        <w:tc>
          <w:tcPr/>
          <w:p>
            <w:pPr>
              <w:pStyle w:val="Compact"/>
            </w:pPr>
            <w:r>
              <w:t xml:space="preserve">고액 정산, 규제 민감 거래, 최종 원장</w:t>
            </w:r>
          </w:p>
        </w:tc>
      </w:tr>
      <w:tr>
        <w:tc>
          <w:tcPr/>
          <w:p>
            <w:pPr>
              <w:pStyle w:val="Compact"/>
            </w:pPr>
            <w:r>
              <w:t xml:space="preserve">Base</w:t>
            </w:r>
          </w:p>
        </w:tc>
        <w:tc>
          <w:tcPr/>
          <w:p>
            <w:pPr>
              <w:pStyle w:val="Compact"/>
            </w:pPr>
            <w:r>
              <w:t xml:space="preserve">Ethereum 보안에 기대는 저비용 OP Stack L2, 수 초 단위 UX, 빌더 친화</w:t>
            </w:r>
          </w:p>
        </w:tc>
        <w:tc>
          <w:tcPr/>
          <w:p>
            <w:pPr>
              <w:pStyle w:val="Compact"/>
            </w:pPr>
            <w:r>
              <w:t xml:space="preserve">롤업 인출/운영 이해 필요</w:t>
            </w:r>
          </w:p>
        </w:tc>
        <w:tc>
          <w:tcPr/>
          <w:p>
            <w:pPr>
              <w:pStyle w:val="Compact"/>
            </w:pPr>
            <w:r>
              <w:rPr>
                <w:b/>
                <w:bCs/>
              </w:rPr>
              <w:t xml:space="preserve">기본값</w:t>
            </w:r>
            <w:r>
              <w:t xml:space="preserve">: SMB 인보이스·공급망·반복정산</w:t>
            </w:r>
          </w:p>
        </w:tc>
      </w:tr>
      <w:tr>
        <w:tc>
          <w:tcPr/>
          <w:p>
            <w:pPr>
              <w:pStyle w:val="Compact"/>
            </w:pPr>
            <w:r>
              <w:t xml:space="preserve">Polygon PoS</w:t>
            </w:r>
          </w:p>
        </w:tc>
        <w:tc>
          <w:tcPr/>
          <w:p>
            <w:pPr>
              <w:pStyle w:val="Compact"/>
            </w:pPr>
            <w:r>
              <w:t xml:space="preserve">수 초 내 블록 확정, 낮은 비용, EVM 친화</w:t>
            </w:r>
          </w:p>
        </w:tc>
        <w:tc>
          <w:tcPr/>
          <w:p>
            <w:pPr>
              <w:pStyle w:val="Compact"/>
            </w:pPr>
            <w:r>
              <w:t xml:space="preserve">보안/최종성 모델이 메인넷·롤업과 다르므로 정책 구분 필요</w:t>
            </w:r>
          </w:p>
        </w:tc>
        <w:tc>
          <w:tcPr/>
          <w:p>
            <w:pPr>
              <w:pStyle w:val="Compact"/>
            </w:pPr>
            <w:r>
              <w:t xml:space="preserve">거래 상대방이 이미 Polygon 사용 중인 회랑</w:t>
            </w:r>
          </w:p>
        </w:tc>
      </w:tr>
      <w:tr>
        <w:tc>
          <w:tcPr/>
          <w:p>
            <w:pPr>
              <w:pStyle w:val="Compact"/>
            </w:pPr>
            <w:r>
              <w:t xml:space="preserve">Solana</w:t>
            </w:r>
          </w:p>
        </w:tc>
        <w:tc>
          <w:tcPr/>
          <w:p>
            <w:pPr>
              <w:pStyle w:val="Compact"/>
            </w:pPr>
            <w:r>
              <w:t xml:space="preserve">메모 기반 대사 UX, 높은 처리량, 저비용</w:t>
            </w:r>
          </w:p>
        </w:tc>
        <w:tc>
          <w:tcPr/>
          <w:p>
            <w:pPr>
              <w:pStyle w:val="Compact"/>
            </w:pPr>
            <w:r>
              <w:t xml:space="preserve">비-EVM 운영스택, 별도 개발·감사 역량 필요</w:t>
            </w:r>
          </w:p>
        </w:tc>
        <w:tc>
          <w:tcPr/>
          <w:p>
            <w:pPr>
              <w:pStyle w:val="Compact"/>
            </w:pPr>
            <w:r>
              <w:t xml:space="preserve">고빈도·저액 반복결제, 특정 파트너 회랑</w:t>
            </w:r>
          </w:p>
        </w:tc>
      </w:tr>
    </w:tbl>
    <w:p>
      <w:pPr>
        <w:pStyle w:val="BodyText"/>
      </w:pPr>
      <w:r>
        <w:rPr>
          <w:i/>
          <w:iCs/>
        </w:rPr>
        <w:t xml:space="preserve">근거: Circle은 USDC가 여러 주요 체인에서 네이티브 지원된다고 설명하고, ethereum.org는 L2의 저비용·빠른 UX와 Base의 OP Stack 구조를 설명한다. Polygon은 자체 문서에서 초 단위 블록 확정과 Ethereum 체크포인트 구조를 설명하고, Solana는 메모를 통한 인보이스·주문번호 대사 사용을 문서화한다. “권고 역할”은 이 공식 문서를 바탕으로 한 본 백서의 설계 추론이다.</w:t>
      </w:r>
      <w:r>
        <w:t xml:space="preserve"> </w:t>
      </w:r>
      <w:hyperlink r:id="rId25">
        <w:r>
          <w:rPr>
            <w:rStyle w:val="Hyperlink"/>
          </w:rPr>
          <w:t xml:space="preserve">[24]</w:t>
        </w:r>
      </w:hyperlink>
    </w:p>
    <w:bookmarkEnd w:id="39"/>
    <w:bookmarkStart w:id="40" w:name="Xaa0e3d08de75edd45e4a0b518284cc78acf391f"/>
    <w:p>
      <w:pPr>
        <w:pStyle w:val="Heading3"/>
      </w:pPr>
      <w:r>
        <w:t xml:space="preserve">Custody, Cross-chain, Auditability, and Privacy</w:t>
      </w:r>
    </w:p>
    <w:p>
      <w:pPr>
        <w:pStyle w:val="FirstParagraph"/>
      </w:pPr>
      <w:r>
        <w:t xml:space="preserve">커스터디는 초기에는</w:t>
      </w:r>
      <w:r>
        <w:t xml:space="preserve"> </w:t>
      </w:r>
      <w:r>
        <w:rPr>
          <w:b/>
          <w:bCs/>
        </w:rPr>
        <w:t xml:space="preserve">위탁형 또는 MPC 기반</w:t>
      </w:r>
      <w:r>
        <w:t xml:space="preserve">이 적합하다. Circle Wallets 문서는 개발자 통제형 지갑, 사용자 통제형 지갑, 모듈형 지갑, 가스 스테이션, USDC Paymaster, Compliance Engine을 제공한다고 설명한다. 이는 “고객이 직접 키를 쥐는 지갑”과 “플랫폼이 승인 흐름을 통제하는 운영지갑”을 분리 설계할 수 있음을 의미한다. 초기 기업고객 플랫폼에는</w:t>
      </w:r>
      <w:r>
        <w:t xml:space="preserve"> </w:t>
      </w:r>
      <w:r>
        <w:rPr>
          <w:b/>
          <w:bCs/>
        </w:rPr>
        <w:t xml:space="preserve">기업별 전용 지갑 + 내부 하위계정 원장</w:t>
      </w:r>
      <w:r>
        <w:t xml:space="preserve">이 적합하다.</w:t>
      </w:r>
      <w:r>
        <w:t xml:space="preserve"> </w:t>
      </w:r>
      <w:hyperlink r:id="rId23">
        <w:r>
          <w:rPr>
            <w:rStyle w:val="Hyperlink"/>
          </w:rPr>
          <w:t xml:space="preserve">[25]</w:t>
        </w:r>
      </w:hyperlink>
    </w:p>
    <w:p>
      <w:pPr>
        <w:pStyle w:val="BodyText"/>
      </w:pPr>
      <w:r>
        <w:t xml:space="preserve">크로스체인 전송은 유동성 브리지보다</w:t>
      </w:r>
      <w:r>
        <w:t xml:space="preserve"> </w:t>
      </w:r>
      <w:r>
        <w:rPr>
          <w:b/>
          <w:bCs/>
        </w:rPr>
        <w:t xml:space="preserve">네이티브 발행·소각 기반의 CCTP</w:t>
      </w:r>
      <w:r>
        <w:t xml:space="preserve">가 더 보수적이다. Circle의 CCTP 문서는 소스 체인에서 USDC를 소각하고 대상 체인에서 1:1로 민트함으로써 래핑 토큰이나 브리지 유동성풀을 사용하지 않는다고 설명한다. 대금정산 시스템 관점에서는 이 구조가 회계와 리스크 설명이 쉽다.</w:t>
      </w:r>
      <w:r>
        <w:t xml:space="preserve"> </w:t>
      </w:r>
      <w:hyperlink r:id="rId26">
        <w:r>
          <w:rPr>
            <w:rStyle w:val="Hyperlink"/>
          </w:rPr>
          <w:t xml:space="preserve">[26]</w:t>
        </w:r>
      </w:hyperlink>
    </w:p>
    <w:p>
      <w:pPr>
        <w:pStyle w:val="BodyText"/>
      </w:pPr>
      <w:r>
        <w:t xml:space="preserve">스마트컨트랙트는 최소 범위로 제한하되, 필요한 경우에는</w:t>
      </w:r>
      <w:r>
        <w:t xml:space="preserve"> </w:t>
      </w:r>
      <w:r>
        <w:rPr>
          <w:b/>
          <w:bCs/>
        </w:rPr>
        <w:t xml:space="preserve">역할 기반 접근통제, 일시중지(Pause), 업그레이드 거버넌스, 이벤트 중심 로그, 풀-기반 출금 패턴</w:t>
      </w:r>
      <w:r>
        <w:t xml:space="preserve">을 채택해야 한다. OpenZeppelin</w:t>
      </w:r>
      <w:hyperlink r:id="rId21">
        <w:r>
          <w:rPr>
            <w:rStyle w:val="Hyperlink"/>
          </w:rPr>
          <w:t xml:space="preserve">[27]</w:t>
        </w:r>
      </w:hyperlink>
      <w:r>
        <w:t xml:space="preserve"> </w:t>
      </w:r>
      <w:r>
        <w:t xml:space="preserve">문서는 Ownable·Ownable2Step·Role 기반 접근통제가 중요하다고 강조한다. 따라서 사내 운영 권한, 파트너 운영 권한, 비상정지 권한을 분리하고, 업그레이드는 멀티시그와 타임락으로 감싸는 것이 적절하다.</w:t>
      </w:r>
      <w:r>
        <w:t xml:space="preserve"> </w:t>
      </w:r>
      <w:hyperlink r:id="rId35">
        <w:r>
          <w:rPr>
            <w:rStyle w:val="Hyperlink"/>
          </w:rPr>
          <w:t xml:space="preserve">[28]</w:t>
        </w:r>
      </w:hyperlink>
    </w:p>
    <w:p>
      <w:pPr>
        <w:pStyle w:val="BodyText"/>
      </w:pPr>
      <w:r>
        <w:t xml:space="preserve">프라이버시는 “온체인에 무엇을 남기지 않을 것인가”가 핵심이다. EU의 GDPR과 한국 개인정보 보호법 체계상, 인보이스 원문·거래상대방 식별정보·계약문서 원본은 오프체인 암호화 저장소에 두고, 체인에는 해시·참조번호·상태값만 기록해야 한다. 특히 ESG/탄소 거래는 민감한 프로젝트 정보가 포함될 수 있으므로,</w:t>
      </w:r>
      <w:r>
        <w:t xml:space="preserve"> </w:t>
      </w:r>
      <w:r>
        <w:rPr>
          <w:b/>
          <w:bCs/>
        </w:rPr>
        <w:t xml:space="preserve">PII/사업비밀의 지역별 저장과 접근권한 통제</w:t>
      </w:r>
      <w:r>
        <w:t xml:space="preserve">가 필수다.</w:t>
      </w:r>
      <w:r>
        <w:t xml:space="preserve"> </w:t>
      </w:r>
      <w:hyperlink r:id="rId24">
        <w:r>
          <w:rPr>
            <w:rStyle w:val="Hyperlink"/>
          </w:rPr>
          <w:t xml:space="preserve">[29]</w:t>
        </w:r>
      </w:hyperlink>
    </w:p>
    <w:bookmarkEnd w:id="40"/>
    <w:bookmarkEnd w:id="41"/>
    <w:bookmarkStart w:id="47" w:name="compliance-and-legal-framework"/>
    <w:p>
      <w:pPr>
        <w:pStyle w:val="Heading2"/>
      </w:pPr>
      <w:r>
        <w:t xml:space="preserve">Compliance and Legal Framework</w:t>
      </w:r>
    </w:p>
    <w:p>
      <w:pPr>
        <w:pStyle w:val="FirstParagraph"/>
      </w:pPr>
      <w:r>
        <w:t xml:space="preserve">컴플라이언스의 기본 원칙은 “</w:t>
      </w:r>
      <w:r>
        <w:rPr>
          <w:b/>
          <w:bCs/>
        </w:rPr>
        <w:t xml:space="preserve">기술 구조보다 자금 통제의 실질</w:t>
      </w:r>
      <w:r>
        <w:t xml:space="preserve">이 규제를 결정한다”는 점이다. 플랫폼이 단지 워크플로 소프트웨어를 제공하고 자금을 직접 수취·보유·전송하지 않는다면 규제 범위가 줄어들 수 있다. 반대로 플랫폼이 고객 자금에 대한 통제 권한을 갖거나, 법정화폐와 스테이블코인 사이의 전환·교환·송금을 자신의 이름으로 수행하면 규제상 지위가 급격히 무거워진다. FATF는 2025년 업데이트에서 VA/VASP 규제와 트래블룰 구현이 국가마다 여전히 불균일하다고 봤고, 이는 단일 글로벌 정책보다</w:t>
      </w:r>
      <w:r>
        <w:t xml:space="preserve"> </w:t>
      </w:r>
      <w:r>
        <w:rPr>
          <w:b/>
          <w:bCs/>
        </w:rPr>
        <w:t xml:space="preserve">관할별 운영모델 차등화</w:t>
      </w:r>
      <w:r>
        <w:t xml:space="preserve">가 필요함을 뜻한다. Financial Action Task Force</w:t>
      </w:r>
      <w:hyperlink r:id="rId42">
        <w:r>
          <w:rPr>
            <w:rStyle w:val="Hyperlink"/>
          </w:rPr>
          <w:t xml:space="preserve">[30]</w:t>
        </w:r>
      </w:hyperlink>
      <w:r>
        <w:t xml:space="preserve"> </w:t>
      </w:r>
      <w:hyperlink r:id="rId42">
        <w:r>
          <w:rPr>
            <w:rStyle w:val="Hyperlink"/>
          </w:rPr>
          <w:t xml:space="preserve">[31]</w:t>
        </w:r>
      </w:hyperlink>
    </w:p>
    <w:bookmarkStart w:id="46" w:name="Xc73d70cb344a4984d678016ba59f0aa0fb45df6"/>
    <w:p>
      <w:pPr>
        <w:pStyle w:val="Heading3"/>
      </w:pPr>
      <w:r>
        <w:t xml:space="preserve">Jurisdictional Requirements by Operating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관할</w:t>
            </w:r>
          </w:p>
        </w:tc>
        <w:tc>
          <w:tcPr/>
          <w:p>
            <w:pPr>
              <w:pStyle w:val="Compact"/>
            </w:pPr>
            <w:r>
              <w:t xml:space="preserve">순수 SaaS·오케스트레이션</w:t>
            </w:r>
          </w:p>
        </w:tc>
        <w:tc>
          <w:tcPr/>
          <w:p>
            <w:pPr>
              <w:pStyle w:val="Compact"/>
            </w:pPr>
            <w:r>
              <w:t xml:space="preserve">고객 자금/스테이블코인 통제 시</w:t>
            </w:r>
          </w:p>
        </w:tc>
        <w:tc>
          <w:tcPr/>
          <w:p>
            <w:pPr>
              <w:pStyle w:val="Compact"/>
            </w:pPr>
            <w:r>
              <w:t xml:space="preserve">장래 자체 스테이블코인 발행 시</w:t>
            </w:r>
          </w:p>
        </w:tc>
        <w:tc>
          <w:tcPr/>
          <w:p>
            <w:pPr>
              <w:pStyle w:val="Compact"/>
            </w:pPr>
            <w:r>
              <w:t xml:space="preserve">실무 권고</w:t>
            </w:r>
          </w:p>
        </w:tc>
      </w:tr>
      <w:tr>
        <w:tc>
          <w:tcPr/>
          <w:p>
            <w:pPr>
              <w:pStyle w:val="Compact"/>
            </w:pPr>
            <w:r>
              <w:t xml:space="preserve">미국</w:t>
            </w:r>
            <w:hyperlink r:id="rId21">
              <w:r>
                <w:rPr>
                  <w:rStyle w:val="Hyperlink"/>
                </w:rPr>
                <w:t xml:space="preserve">[32]</w:t>
              </w:r>
            </w:hyperlink>
          </w:p>
        </w:tc>
        <w:tc>
          <w:tcPr/>
          <w:p>
            <w:pPr>
              <w:pStyle w:val="Compact"/>
            </w:pPr>
            <w:r>
              <w:t xml:space="preserve">사실관계에 따라 비규제 기술제공자로 볼 여지 있으나, 자금통제·전달관여가 없다는 점을 명확히 해야 함</w:t>
            </w:r>
          </w:p>
        </w:tc>
        <w:tc>
          <w:tcPr/>
          <w:p>
            <w:pPr>
              <w:pStyle w:val="Compact"/>
            </w:pPr>
            <w:r>
              <w:t xml:space="preserve">FinCEN MSB 등록 및 주별 money transmitter 분석이 사실상 핵심. FinCEN은 가상통화와 같은 “currency 대체 가치”를 수취·전달하면 money transmitter로 본다</w:t>
            </w:r>
          </w:p>
        </w:tc>
        <w:tc>
          <w:tcPr/>
          <w:p>
            <w:pPr>
              <w:pStyle w:val="Compact"/>
            </w:pPr>
            <w:r>
              <w:t xml:space="preserve">2025년 제정된 GENIUS 체계상 허용된 payment stablecoin issuer만 발행 가능</w:t>
            </w:r>
          </w:p>
        </w:tc>
        <w:tc>
          <w:tcPr/>
          <w:p>
            <w:pPr>
              <w:pStyle w:val="Compact"/>
            </w:pPr>
            <w:r>
              <w:t xml:space="preserve">초기에는 파트너 MSB/은행 구조가 합리적</w:t>
            </w:r>
          </w:p>
        </w:tc>
      </w:tr>
      <w:tr>
        <w:tc>
          <w:tcPr/>
          <w:p>
            <w:pPr>
              <w:pStyle w:val="Compact"/>
            </w:pPr>
            <w:r>
              <w:t xml:space="preserve">유럽연합</w:t>
            </w:r>
            <w:hyperlink r:id="rId28">
              <w:r>
                <w:rPr>
                  <w:rStyle w:val="Hyperlink"/>
                </w:rPr>
                <w:t xml:space="preserve">[33]</w:t>
              </w:r>
            </w:hyperlink>
          </w:p>
        </w:tc>
        <w:tc>
          <w:tcPr/>
          <w:p>
            <w:pPr>
              <w:pStyle w:val="Compact"/>
            </w:pPr>
            <w:r>
              <w:t xml:space="preserve">비수탁형 소프트웨어만 제공하면 MiCA 밖에 있을 수 있으나, custody/transfer/exchange 수행 시 CASP 분석 필요</w:t>
            </w:r>
          </w:p>
        </w:tc>
        <w:tc>
          <w:tcPr/>
          <w:p>
            <w:pPr>
              <w:pStyle w:val="Compact"/>
            </w:pPr>
            <w:r>
              <w:t xml:space="preserve">MiCA 하 CASP 활동, EMT 이전·보관·교환 여부 검토 필요. 트래블룰 가이드라인은 2024-12-30부터 적용</w:t>
            </w:r>
          </w:p>
        </w:tc>
        <w:tc>
          <w:tcPr/>
          <w:p>
            <w:pPr>
              <w:pStyle w:val="Compact"/>
            </w:pPr>
            <w:r>
              <w:t xml:space="preserve">EMT 발행은 인가된 발행자 체계 필요. Circle은 EEA에서 USDC EMT 백서와 상환권을 제공한다고 공시</w:t>
            </w:r>
          </w:p>
        </w:tc>
        <w:tc>
          <w:tcPr/>
          <w:p>
            <w:pPr>
              <w:pStyle w:val="Compact"/>
            </w:pPr>
            <w:r>
              <w:t xml:space="preserve">EEA는 MiCA 준수 EMT와 CASP/PSP 파트너 결합이 최적</w:t>
            </w:r>
          </w:p>
        </w:tc>
      </w:tr>
      <w:tr>
        <w:tc>
          <w:tcPr/>
          <w:p>
            <w:pPr>
              <w:pStyle w:val="Compact"/>
            </w:pPr>
            <w:r>
              <w:t xml:space="preserve">대한민국</w:t>
            </w:r>
            <w:hyperlink r:id="rId26">
              <w:r>
                <w:rPr>
                  <w:rStyle w:val="Hyperlink"/>
                </w:rPr>
                <w:t xml:space="preserve">[34]</w:t>
              </w:r>
            </w:hyperlink>
          </w:p>
        </w:tc>
        <w:tc>
          <w:tcPr/>
          <w:p>
            <w:pPr>
              <w:pStyle w:val="Compact"/>
            </w:pPr>
            <w:r>
              <w:t xml:space="preserve">순수 B2B 소프트웨어는 상대적으로 유연할 수 있으나, 한국인 대상 영업과 가상자산 이전 관여는 특금법·전자금융거래법·외국환거래법 분석 필요</w:t>
            </w:r>
          </w:p>
        </w:tc>
        <w:tc>
          <w:tcPr/>
          <w:p>
            <w:pPr>
              <w:pStyle w:val="Compact"/>
            </w:pPr>
            <w:r>
              <w:t xml:space="preserve">가상자산사업자 신고의무, ISMS, 실명계정 요건 관련 이슈가 핵심. 미신고 해외사업자의 내국인 대상 영업도 단속 대상</w:t>
            </w:r>
          </w:p>
        </w:tc>
        <w:tc>
          <w:tcPr/>
          <w:p>
            <w:pPr>
              <w:pStyle w:val="Compact"/>
            </w:pPr>
            <w:r>
              <w:t xml:space="preserve">스테이블코인 발행·유통 규율은 별도 제도화가 추진 중이며, 단계적 통합법 논의가 진행 중</w:t>
            </w:r>
          </w:p>
        </w:tc>
        <w:tc>
          <w:tcPr/>
          <w:p>
            <w:pPr>
              <w:pStyle w:val="Compact"/>
            </w:pPr>
            <w:r>
              <w:t xml:space="preserve">한국에서는 당분간 직접 발행보다</w:t>
            </w:r>
            <w:r>
              <w:t xml:space="preserve"> </w:t>
            </w:r>
            <w:r>
              <w:rPr>
                <w:b/>
                <w:bCs/>
              </w:rPr>
              <w:t xml:space="preserve">제휴형 진출</w:t>
            </w:r>
            <w:r>
              <w:t xml:space="preserve">이 훨씬 보수적</w:t>
            </w:r>
          </w:p>
        </w:tc>
      </w:tr>
    </w:tbl>
    <w:p>
      <w:pPr>
        <w:pStyle w:val="BodyText"/>
      </w:pPr>
      <w:r>
        <w:rPr>
          <w:i/>
          <w:iCs/>
        </w:rPr>
        <w:t xml:space="preserve">주요 근거: FinCEN 2019 가이던스, FinCEN MSB 등록 안내, CSBS MTMA, SEC 2025 staff statement, OCC/연방관보의 GENIUS 관련 문서, EBA MiCA EMT 안내 및 Travel Rule Guidelines, 한국 특금법·금융위·FIU 보도자료와 정책문서. 표의 “볼 여지”, “분석 필요”, “실무 권고”는 법률 해석이 아닌 사업설계 권고다.</w:t>
      </w:r>
      <w:r>
        <w:t xml:space="preserve"> </w:t>
      </w:r>
      <w:hyperlink r:id="rId43">
        <w:r>
          <w:rPr>
            <w:rStyle w:val="Hyperlink"/>
          </w:rPr>
          <w:t xml:space="preserve">[35]</w:t>
        </w:r>
      </w:hyperlink>
    </w:p>
    <w:p>
      <w:pPr>
        <w:pStyle w:val="BodyText"/>
      </w:pPr>
      <w:r>
        <w:t xml:space="preserve">미국에서는 Financial Crimes Enforcement Network</w:t>
      </w:r>
      <w:hyperlink r:id="rId26">
        <w:r>
          <w:rPr>
            <w:rStyle w:val="Hyperlink"/>
          </w:rPr>
          <w:t xml:space="preserve">[36]</w:t>
        </w:r>
      </w:hyperlink>
      <w:r>
        <w:t xml:space="preserve">이 2019년 가이던스에서 “가상통화와 같이 통화를 대체하는 가치”를 수취·전달하는 자를 money transmitter로 본다고 분명히 했다. 또 MSB 등록은 설립 후 180일 내 필요하고 2년마다 갱신된다. Securities and Exchange Commission</w:t>
      </w:r>
      <w:hyperlink r:id="rId28">
        <w:r>
          <w:rPr>
            <w:rStyle w:val="Hyperlink"/>
          </w:rPr>
          <w:t xml:space="preserve">[37]</w:t>
        </w:r>
      </w:hyperlink>
      <w:r>
        <w:t xml:space="preserve">의 2025년 staff statement는 일정 요건의 “Covered Stablecoins”가 증권의 offer and sale로 보지 않는다는 입장을 제시했지만, 이는 어디까지나</w:t>
      </w:r>
      <w:r>
        <w:t xml:space="preserve"> </w:t>
      </w:r>
      <w:r>
        <w:rPr>
          <w:b/>
          <w:bCs/>
        </w:rPr>
        <w:t xml:space="preserve">완전담보·1:1 상환형·저위험 준비자산 기반</w:t>
      </w:r>
      <w:r>
        <w:t xml:space="preserve"> </w:t>
      </w:r>
      <w:r>
        <w:t xml:space="preserve">스테이블코인에 대한 staff 수준 의견이다. 따라서 플랫폼이 향후 수익분배, 이자, 스테이킹 유사 기능을 붙이면 다시 별도의 증권성 분석이 필요하다. Office of Foreign Assets Control</w:t>
      </w:r>
      <w:hyperlink r:id="rId21">
        <w:r>
          <w:rPr>
            <w:rStyle w:val="Hyperlink"/>
          </w:rPr>
          <w:t xml:space="preserve">[38]</w:t>
        </w:r>
      </w:hyperlink>
      <w:r>
        <w:t xml:space="preserve">은 가상자산 산업에도 제재 준수가 동일하게 적용되며, 차단된 디지털 자산은 10영업일 내 보고해야 한다고 FAQ와 가이던스에서 밝힌다. Office of the Comptroller of the Currency</w:t>
      </w:r>
      <w:hyperlink r:id="rId32">
        <w:r>
          <w:rPr>
            <w:rStyle w:val="Hyperlink"/>
          </w:rPr>
          <w:t xml:space="preserve">[39]</w:t>
        </w:r>
      </w:hyperlink>
      <w:r>
        <w:t xml:space="preserve">와 연방관보 문서는 2025년 GENIUS 제정 이후 미국 내 스테이블코인 발행이 별도의 허가된 발행자 체계로 이동했음을 보여준다.</w:t>
      </w:r>
      <w:r>
        <w:t xml:space="preserve"> </w:t>
      </w:r>
      <w:hyperlink r:id="rId43">
        <w:r>
          <w:rPr>
            <w:rStyle w:val="Hyperlink"/>
          </w:rPr>
          <w:t xml:space="preserve">[40]</w:t>
        </w:r>
      </w:hyperlink>
    </w:p>
    <w:p>
      <w:pPr>
        <w:pStyle w:val="BodyText"/>
      </w:pPr>
      <w:r>
        <w:t xml:space="preserve">EU에서는 MiCA 하에서 EMT/ART 발행자와 CASP 활동이 구분된다. European Banking Authority</w:t>
      </w:r>
      <w:hyperlink r:id="rId21">
        <w:r>
          <w:rPr>
            <w:rStyle w:val="Hyperlink"/>
          </w:rPr>
          <w:t xml:space="preserve">[41]</w:t>
        </w:r>
      </w:hyperlink>
      <w:r>
        <w:t xml:space="preserve">는 EMT/ART 발행자에 인가가 필요하다고 안내하고, Travel Rule 가이드라인은 2024년 12월 30일부터 적용된다고 명시한다. European Securities and Markets Authority</w:t>
      </w:r>
      <w:hyperlink r:id="rId23">
        <w:r>
          <w:rPr>
            <w:rStyle w:val="Hyperlink"/>
          </w:rPr>
          <w:t xml:space="preserve">[42]</w:t>
        </w:r>
      </w:hyperlink>
      <w:r>
        <w:t xml:space="preserve">도 MiCA가 custody, transfer, exchange 등 활동에 대한 통일 규칙을 도입했다고 설명한다. 따라서 플랫폼이 EU에서 고객 지갑을 보관하거나, 암호자산 이전·교환을 직접 수행하면 CASP 범주 검토를 피하기 어렵다. 반면 EEA 내 MiCA 백서와 상환정책이 갖춰진 USDC를 활용하고, 현지 CASP/PSP와 결합해 소프트웨어·오케스트레이션 계층으로 시작하면 규제 부담을 크게 줄일 수 있다.</w:t>
      </w:r>
      <w:r>
        <w:t xml:space="preserve"> </w:t>
      </w:r>
      <w:hyperlink r:id="rId44">
        <w:r>
          <w:rPr>
            <w:rStyle w:val="Hyperlink"/>
          </w:rPr>
          <w:t xml:space="preserve">[43]</w:t>
        </w:r>
      </w:hyperlink>
    </w:p>
    <w:p>
      <w:pPr>
        <w:pStyle w:val="BodyText"/>
      </w:pPr>
      <w:r>
        <w:t xml:space="preserve">한국에서는 규제 불확실성이 가장 크다. 특금법상 가상자산사업자 신고 제도가 있고, FIU는 내국인을 대상으로 영업하는 해외 가상자산사업자도 신고 대상이 될 수 있다고 명시했다. 금융위 문서에 따르면 2025년 기준 적법 신고된 가상자산사업자는 27개소뿐이며, 스테이블코인 AML 체계 정비와 2단계 통합법 논의도 진행 중이다. 동시에 금융위의 “디지털자산 생태계 구축” 문서는 스테이블코인 발행·유통 규율체계를 신속히 마련하겠다고 명시한다. 즉, 한국 시장에서는 당분간</w:t>
      </w:r>
      <w:r>
        <w:t xml:space="preserve"> </w:t>
      </w:r>
      <w:r>
        <w:rPr>
          <w:b/>
          <w:bCs/>
        </w:rPr>
        <w:t xml:space="preserve">직접 수탁·직접 발행·직접 FX 집행을 피하고</w:t>
      </w:r>
      <w:r>
        <w:t xml:space="preserve">, B2B 소프트웨어·대사·정산 조정자로 들어가는 것이 더 현실적이다. 금융위원회</w:t>
      </w:r>
      <w:hyperlink r:id="rId28">
        <w:r>
          <w:rPr>
            <w:rStyle w:val="Hyperlink"/>
          </w:rPr>
          <w:t xml:space="preserve">[44]</w:t>
        </w:r>
      </w:hyperlink>
      <w:r>
        <w:t xml:space="preserve"> </w:t>
      </w:r>
      <w:r>
        <w:t xml:space="preserve">금융정보분석원</w:t>
      </w:r>
      <w:hyperlink r:id="rId23">
        <w:r>
          <w:rPr>
            <w:rStyle w:val="Hyperlink"/>
          </w:rPr>
          <w:t xml:space="preserve">[45]</w:t>
        </w:r>
      </w:hyperlink>
      <w:r>
        <w:t xml:space="preserve"> </w:t>
      </w:r>
      <w:hyperlink r:id="rId45">
        <w:r>
          <w:rPr>
            <w:rStyle w:val="Hyperlink"/>
          </w:rPr>
          <w:t xml:space="preserve">[46]</w:t>
        </w:r>
      </w:hyperlink>
    </w:p>
    <w:bookmarkEnd w:id="46"/>
    <w:bookmarkEnd w:id="47"/>
    <w:bookmarkStart w:id="51" w:name="X1c0cbac2d90bf22b9e522437ccbf0b0c289dbf9"/>
    <w:p>
      <w:pPr>
        <w:pStyle w:val="Heading2"/>
      </w:pPr>
      <w:r>
        <w:t xml:space="preserve">Business Model, Partnerships, and Unit Economics</w:t>
      </w:r>
    </w:p>
    <w:p>
      <w:pPr>
        <w:pStyle w:val="FirstParagraph"/>
      </w:pPr>
      <w:r>
        <w:t xml:space="preserve">권장 수익모델은 단일 수수료가 아니라</w:t>
      </w:r>
      <w:r>
        <w:t xml:space="preserve"> </w:t>
      </w:r>
      <w:r>
        <w:rPr>
          <w:b/>
          <w:bCs/>
        </w:rPr>
        <w:t xml:space="preserve">구독 + 정산수수료 + FX/온오프램프 마진 + 엔터프라이즈 API</w:t>
      </w:r>
      <w:r>
        <w:t xml:space="preserve">의 혼합형이다. 가격 예시는 다음과 같다. Starter는 월 500달러와 거래액 20bp, Growth는 월 2,000달러와 15bp, Enterprise/API는 월 6,000달러와 10~12bp, 전용 SLA·커스텀 승인흐름·ERP 커넥터를 포함하는 구조가 합리적이다. ESG/탄소 모듈은 프로젝트별 워크스페이스 또는 거래건별 고정수수료를 추가할 수 있다. 이 가격체계의 목표는 고객의 민감도에 맞춰</w:t>
      </w:r>
      <w:r>
        <w:t xml:space="preserve"> </w:t>
      </w:r>
      <w:r>
        <w:rPr>
          <w:b/>
          <w:bCs/>
        </w:rPr>
        <w:t xml:space="preserve">“비용절감”과 “운영자동화 가치”를 동시에 청구</w:t>
      </w:r>
      <w:r>
        <w:t xml:space="preserve">하는 것이다.</w:t>
      </w:r>
    </w:p>
    <w:bookmarkStart w:id="48" w:name="partner-vendor-comparison"/>
    <w:p>
      <w:pPr>
        <w:pStyle w:val="Heading3"/>
      </w:pPr>
      <w:r>
        <w:t xml:space="preserve">Partner Vendor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레이어</w:t>
            </w:r>
          </w:p>
        </w:tc>
        <w:tc>
          <w:tcPr/>
          <w:p>
            <w:pPr>
              <w:pStyle w:val="Compact"/>
            </w:pPr>
            <w:r>
              <w:t xml:space="preserve">예시 벤더</w:t>
            </w:r>
          </w:p>
        </w:tc>
        <w:tc>
          <w:tcPr/>
          <w:p>
            <w:pPr>
              <w:pStyle w:val="Compact"/>
            </w:pPr>
            <w:r>
              <w:t xml:space="preserve">적합성</w:t>
            </w:r>
          </w:p>
        </w:tc>
        <w:tc>
          <w:tcPr/>
          <w:p>
            <w:pPr>
              <w:pStyle w:val="Compact"/>
            </w:pPr>
            <w:r>
              <w:t xml:space="preserve">선택 기준</w:t>
            </w:r>
          </w:p>
        </w:tc>
      </w:tr>
      <w:tr>
        <w:tc>
          <w:tcPr/>
          <w:p>
            <w:pPr>
              <w:pStyle w:val="Compact"/>
            </w:pPr>
            <w:r>
              <w:t xml:space="preserve">규제형 스테이블코인·발행/상환</w:t>
            </w:r>
          </w:p>
        </w:tc>
        <w:tc>
          <w:tcPr/>
          <w:p>
            <w:pPr>
              <w:pStyle w:val="Compact"/>
            </w:pPr>
            <w:r>
              <w:t xml:space="preserve">Circle</w:t>
            </w:r>
            <w:hyperlink r:id="rId24">
              <w:r>
                <w:rPr>
                  <w:rStyle w:val="Hyperlink"/>
                </w:rPr>
                <w:t xml:space="preserve">[14]</w:t>
              </w:r>
            </w:hyperlink>
          </w:p>
        </w:tc>
        <w:tc>
          <w:tcPr/>
          <w:p>
            <w:pPr>
              <w:pStyle w:val="Compact"/>
            </w:pPr>
            <w:r>
              <w:t xml:space="preserve">USDC, CCTP, Mint, Wallets, Paymaster를 한 스택에서 제공</w:t>
            </w:r>
          </w:p>
        </w:tc>
        <w:tc>
          <w:tcPr/>
          <w:p>
            <w:pPr>
              <w:pStyle w:val="Compact"/>
            </w:pPr>
            <w:r>
              <w:t xml:space="preserve">준비자산 투명성, 상환권, 다중체인, 기관온보딩</w:t>
            </w:r>
          </w:p>
        </w:tc>
      </w:tr>
      <w:tr>
        <w:tc>
          <w:tcPr/>
          <w:p>
            <w:pPr>
              <w:pStyle w:val="Compact"/>
            </w:pPr>
            <w:r>
              <w:t xml:space="preserve">커스터디·MPC</w:t>
            </w:r>
          </w:p>
        </w:tc>
        <w:tc>
          <w:tcPr/>
          <w:p>
            <w:pPr>
              <w:pStyle w:val="Compact"/>
            </w:pPr>
            <w:r>
              <w:t xml:space="preserve">Fireblocks</w:t>
            </w:r>
            <w:hyperlink r:id="rId23">
              <w:r>
                <w:rPr>
                  <w:rStyle w:val="Hyperlink"/>
                </w:rPr>
                <w:t xml:space="preserve">[47]</w:t>
              </w:r>
            </w:hyperlink>
            <w:r>
              <w:t xml:space="preserve"> </w:t>
            </w:r>
            <w:r>
              <w:t xml:space="preserve">/ BitGo</w:t>
            </w:r>
            <w:hyperlink r:id="rId21">
              <w:r>
                <w:rPr>
                  <w:rStyle w:val="Hyperlink"/>
                </w:rPr>
                <w:t xml:space="preserve">[48]</w:t>
              </w:r>
            </w:hyperlink>
            <w:r>
              <w:t xml:space="preserve"> </w:t>
            </w:r>
            <w:r>
              <w:t xml:space="preserve">/ Anchorage Digital</w:t>
            </w:r>
            <w:hyperlink r:id="rId21">
              <w:r>
                <w:rPr>
                  <w:rStyle w:val="Hyperlink"/>
                </w:rPr>
                <w:t xml:space="preserve">[49]</w:t>
              </w:r>
            </w:hyperlink>
          </w:p>
        </w:tc>
        <w:tc>
          <w:tcPr/>
          <w:p>
            <w:pPr>
              <w:pStyle w:val="Compact"/>
            </w:pPr>
            <w:r>
              <w:t xml:space="preserve">기관용 키관리, 정책통제, 자산분리, 규제 친화</w:t>
            </w:r>
          </w:p>
        </w:tc>
        <w:tc>
          <w:tcPr/>
          <w:p>
            <w:pPr>
              <w:pStyle w:val="Compact"/>
            </w:pPr>
            <w:r>
              <w:t xml:space="preserve">키통제 모델, 자산분리, 규제지위, 보험/감사</w:t>
            </w:r>
          </w:p>
        </w:tc>
      </w:tr>
      <w:tr>
        <w:tc>
          <w:tcPr/>
          <w:p>
            <w:pPr>
              <w:pStyle w:val="Compact"/>
            </w:pPr>
            <w:r>
              <w:t xml:space="preserve">체인 분석·제재 모니터링</w:t>
            </w:r>
          </w:p>
        </w:tc>
        <w:tc>
          <w:tcPr/>
          <w:p>
            <w:pPr>
              <w:pStyle w:val="Compact"/>
            </w:pPr>
            <w:r>
              <w:t xml:space="preserve">Chainalysis</w:t>
            </w:r>
            <w:hyperlink r:id="rId42">
              <w:r>
                <w:rPr>
                  <w:rStyle w:val="Hyperlink"/>
                </w:rPr>
                <w:t xml:space="preserve">[50]</w:t>
              </w:r>
            </w:hyperlink>
          </w:p>
        </w:tc>
        <w:tc>
          <w:tcPr/>
          <w:p>
            <w:pPr>
              <w:pStyle w:val="Compact"/>
            </w:pPr>
            <w:r>
              <w:t xml:space="preserve">KYT 기반 거래 모니터링과 리스크 평가</w:t>
            </w:r>
          </w:p>
        </w:tc>
        <w:tc>
          <w:tcPr/>
          <w:p>
            <w:pPr>
              <w:pStyle w:val="Compact"/>
            </w:pPr>
            <w:r>
              <w:t xml:space="preserve">주소 귀속 데이터 품질, 실시간성, 케이스 관리</w:t>
            </w:r>
          </w:p>
        </w:tc>
      </w:tr>
      <w:tr>
        <w:tc>
          <w:tcPr/>
          <w:p>
            <w:pPr>
              <w:pStyle w:val="Compact"/>
            </w:pPr>
            <w:r>
              <w:t xml:space="preserve">KYB/KYC·사기방지</w:t>
            </w:r>
          </w:p>
        </w:tc>
        <w:tc>
          <w:tcPr/>
          <w:p>
            <w:pPr>
              <w:pStyle w:val="Compact"/>
            </w:pPr>
            <w:r>
              <w:t xml:space="preserve">Persona</w:t>
            </w:r>
            <w:hyperlink r:id="rId31">
              <w:r>
                <w:rPr>
                  <w:rStyle w:val="Hyperlink"/>
                </w:rPr>
                <w:t xml:space="preserve">[51]</w:t>
              </w:r>
            </w:hyperlink>
            <w:r>
              <w:t xml:space="preserve"> </w:t>
            </w:r>
            <w:r>
              <w:t xml:space="preserve">/ Alloy</w:t>
            </w:r>
            <w:hyperlink r:id="rId43">
              <w:r>
                <w:rPr>
                  <w:rStyle w:val="Hyperlink"/>
                </w:rPr>
                <w:t xml:space="preserve">[52]</w:t>
              </w:r>
            </w:hyperlink>
          </w:p>
        </w:tc>
        <w:tc>
          <w:tcPr/>
          <w:p>
            <w:pPr>
              <w:pStyle w:val="Compact"/>
            </w:pPr>
            <w:r>
              <w:t xml:space="preserve">기업·UBO 검증, 사업자 온보딩, AML 연계</w:t>
            </w:r>
          </w:p>
        </w:tc>
        <w:tc>
          <w:tcPr/>
          <w:p>
            <w:pPr>
              <w:pStyle w:val="Compact"/>
            </w:pPr>
            <w:r>
              <w:t xml:space="preserve">글로벌 커버리지, UBO 식별, API 품질</w:t>
            </w:r>
          </w:p>
        </w:tc>
      </w:tr>
      <w:tr>
        <w:tc>
          <w:tcPr/>
          <w:p>
            <w:pPr>
              <w:pStyle w:val="Compact"/>
            </w:pPr>
            <w:r>
              <w:t xml:space="preserve">온오프램프·정산 API</w:t>
            </w:r>
          </w:p>
        </w:tc>
        <w:tc>
          <w:tcPr/>
          <w:p>
            <w:pPr>
              <w:pStyle w:val="Compact"/>
            </w:pPr>
            <w:r>
              <w:t xml:space="preserve">zerohash</w:t>
            </w:r>
            <w:hyperlink r:id="rId23">
              <w:r>
                <w:rPr>
                  <w:rStyle w:val="Hyperlink"/>
                </w:rPr>
                <w:t xml:space="preserve">[53]</w:t>
              </w:r>
            </w:hyperlink>
            <w:r>
              <w:t xml:space="preserve"> </w:t>
            </w:r>
            <w:r>
              <w:t xml:space="preserve">/ OpenPayd</w:t>
            </w:r>
            <w:hyperlink r:id="rId24">
              <w:r>
                <w:rPr>
                  <w:rStyle w:val="Hyperlink"/>
                </w:rPr>
                <w:t xml:space="preserve">[54]</w:t>
              </w:r>
            </w:hyperlink>
          </w:p>
        </w:tc>
        <w:tc>
          <w:tcPr/>
          <w:p>
            <w:pPr>
              <w:pStyle w:val="Compact"/>
            </w:pPr>
            <w:r>
              <w:t xml:space="preserve">법정화폐-스테이블코인 전환, payouts, white-label API</w:t>
            </w:r>
          </w:p>
        </w:tc>
        <w:tc>
          <w:tcPr/>
          <w:p>
            <w:pPr>
              <w:pStyle w:val="Compact"/>
            </w:pPr>
            <w:r>
              <w:t xml:space="preserve">라이선스 범위, 정산 회랑, 환율 경쟁력</w:t>
            </w:r>
          </w:p>
        </w:tc>
      </w:tr>
      <w:tr>
        <w:tc>
          <w:tcPr/>
          <w:p>
            <w:pPr>
              <w:pStyle w:val="Compact"/>
            </w:pPr>
            <w:r>
              <w:t xml:space="preserve">스마트컨트랙트 보안</w:t>
            </w:r>
          </w:p>
        </w:tc>
        <w:tc>
          <w:tcPr/>
          <w:p>
            <w:pPr>
              <w:pStyle w:val="Compact"/>
            </w:pPr>
            <w:r>
              <w:t xml:space="preserve">OpenZeppelin</w:t>
            </w:r>
            <w:hyperlink r:id="rId21">
              <w:r>
                <w:rPr>
                  <w:rStyle w:val="Hyperlink"/>
                </w:rPr>
                <w:t xml:space="preserve">[27]</w:t>
              </w:r>
            </w:hyperlink>
          </w:p>
        </w:tc>
        <w:tc>
          <w:tcPr/>
          <w:p>
            <w:pPr>
              <w:pStyle w:val="Compact"/>
            </w:pPr>
            <w:r>
              <w:t xml:space="preserve">표준 라이브러리, 접근통제, 업그레이드 패턴</w:t>
            </w:r>
          </w:p>
        </w:tc>
        <w:tc>
          <w:tcPr/>
          <w:p>
            <w:pPr>
              <w:pStyle w:val="Compact"/>
            </w:pPr>
            <w:r>
              <w:t xml:space="preserve">검증된 라이브러리, 감사성, 개발자 생산성</w:t>
            </w:r>
          </w:p>
        </w:tc>
      </w:tr>
    </w:tbl>
    <w:p>
      <w:pPr>
        <w:pStyle w:val="BodyText"/>
      </w:pPr>
      <w:r>
        <w:rPr>
          <w:i/>
          <w:iCs/>
        </w:rPr>
        <w:t xml:space="preserve">근거: Circle의 USDC/Mint/Wallets 문서, Fireblocks MPC 및 embedded wallet 공식 자료, BitGo/Anchorage의 기관 커스터디 자료, Chainalysis KYT, Persona/Alloy KYB 자료, zerohash/OpenPayd의 stablecoin settlement 및 rail 자료.</w:t>
      </w:r>
      <w:r>
        <w:t xml:space="preserve"> </w:t>
      </w:r>
      <w:hyperlink r:id="rId22">
        <w:r>
          <w:rPr>
            <w:rStyle w:val="Hyperlink"/>
          </w:rPr>
          <w:t xml:space="preserve">[55]</w:t>
        </w:r>
      </w:hyperlink>
    </w:p>
    <w:bookmarkEnd w:id="48"/>
    <w:bookmarkStart w:id="49" w:name="recommended-unit-economics"/>
    <w:p>
      <w:pPr>
        <w:pStyle w:val="Heading3"/>
      </w:pPr>
      <w:r>
        <w:t xml:space="preserve">Recommended Unit Economics</w:t>
      </w:r>
    </w:p>
    <w:p>
      <w:pPr>
        <w:pStyle w:val="FirstParagraph"/>
      </w:pPr>
      <w:r>
        <w:t xml:space="preserve">본 백서의 목표 단위경제는 다음과 같다. 거래매출의 blended net take rate는 18~22bp, 직접원가(온오프램프·커스터디·컴플라이언스 벤더·체인 비용)는 6~9bp 수준, 구독 매출이 총마진을 보완하는 구조다. 핵심은 저가 트랜잭션 레일까지 직접 통제하는 것이 아니라,</w:t>
      </w:r>
      <w:r>
        <w:t xml:space="preserve"> </w:t>
      </w:r>
      <w:r>
        <w:rPr>
          <w:b/>
          <w:bCs/>
        </w:rPr>
        <w:t xml:space="preserve">규제·회계·대사·내부통제라는 높은 부가가치 층</w:t>
      </w:r>
      <w:r>
        <w:t xml:space="preserve">으로 GM을 확보하는 것이다.</w:t>
      </w:r>
    </w:p>
    <w:bookmarkEnd w:id="49"/>
    <w:bookmarkStart w:id="50" w:name="three-year-financial-projection"/>
    <w:p>
      <w:pPr>
        <w:pStyle w:val="Heading3"/>
      </w:pPr>
      <w:r>
        <w:t xml:space="preserve">Three-year Financial Projection</w:t>
      </w:r>
    </w:p>
    <w:p>
      <w:pPr>
        <w:pStyle w:val="FirstParagraph"/>
      </w:pPr>
      <w:r>
        <w:t xml:space="preserve">아래 수치는</w:t>
      </w:r>
      <w:r>
        <w:t xml:space="preserve"> </w:t>
      </w:r>
      <w:r>
        <w:rPr>
          <w:b/>
          <w:bCs/>
        </w:rPr>
        <w:t xml:space="preserve">본 백서 가정</w:t>
      </w:r>
      <w:r>
        <w:t xml:space="preserve">이다. 외부 검증된 전망이 아니라, 고객 수, 고객당 연간 GMV, 구독료, blended take rate, 직접원가, 운영비를 가정한 시뮬레이션이다.</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시나리오</w:t>
            </w:r>
          </w:p>
        </w:tc>
        <w:tc>
          <w:tcPr/>
          <w:p>
            <w:pPr>
              <w:pStyle w:val="Compact"/>
              <w:jc w:val="right"/>
            </w:pPr>
            <w:r>
              <w:t xml:space="preserve">연도</w:t>
            </w:r>
          </w:p>
        </w:tc>
        <w:tc>
          <w:tcPr/>
          <w:p>
            <w:pPr>
              <w:pStyle w:val="Compact"/>
              <w:jc w:val="right"/>
            </w:pPr>
            <w:r>
              <w:t xml:space="preserve">활성 고객 수</w:t>
            </w:r>
          </w:p>
        </w:tc>
        <w:tc>
          <w:tcPr/>
          <w:p>
            <w:pPr>
              <w:pStyle w:val="Compact"/>
              <w:jc w:val="right"/>
            </w:pPr>
            <w:r>
              <w:t xml:space="preserve">총 GMV</w:t>
            </w:r>
          </w:p>
        </w:tc>
        <w:tc>
          <w:tcPr/>
          <w:p>
            <w:pPr>
              <w:pStyle w:val="Compact"/>
              <w:jc w:val="right"/>
            </w:pPr>
            <w:r>
              <w:t xml:space="preserve">매출</w:t>
            </w:r>
          </w:p>
        </w:tc>
        <w:tc>
          <w:tcPr/>
          <w:p>
            <w:pPr>
              <w:pStyle w:val="Compact"/>
              <w:jc w:val="right"/>
            </w:pPr>
            <w:r>
              <w:t xml:space="preserve">매출총이익</w:t>
            </w:r>
          </w:p>
        </w:tc>
        <w:tc>
          <w:tcPr/>
          <w:p>
            <w:pPr>
              <w:pStyle w:val="Compact"/>
              <w:jc w:val="right"/>
            </w:pPr>
            <w:r>
              <w:t xml:space="preserve">EBITDA</w:t>
            </w:r>
          </w:p>
        </w:tc>
      </w:tr>
      <w:tr>
        <w:tc>
          <w:tcPr/>
          <w:p>
            <w:pPr>
              <w:pStyle w:val="Compact"/>
            </w:pPr>
            <w:r>
              <w:t xml:space="preserve">Low</w:t>
            </w:r>
          </w:p>
        </w:tc>
        <w:tc>
          <w:tcPr/>
          <w:p>
            <w:pPr>
              <w:pStyle w:val="Compact"/>
              <w:jc w:val="right"/>
            </w:pPr>
            <w:r>
              <w:t xml:space="preserve">1년차</w:t>
            </w:r>
          </w:p>
        </w:tc>
        <w:tc>
          <w:tcPr/>
          <w:p>
            <w:pPr>
              <w:pStyle w:val="Compact"/>
              <w:jc w:val="right"/>
            </w:pPr>
            <w:r>
              <w:t xml:space="preserve">40</w:t>
            </w:r>
          </w:p>
        </w:tc>
        <w:tc>
          <w:tcPr/>
          <w:p>
            <w:pPr>
              <w:pStyle w:val="Compact"/>
              <w:jc w:val="right"/>
            </w:pPr>
            <w:r>
              <w:t xml:space="preserve">$80.0M</w:t>
            </w:r>
          </w:p>
        </w:tc>
        <w:tc>
          <w:tcPr/>
          <w:p>
            <w:pPr>
              <w:pStyle w:val="Compact"/>
              <w:jc w:val="right"/>
            </w:pPr>
            <w:r>
              <w:t xml:space="preserve">$0.384M</w:t>
            </w:r>
          </w:p>
        </w:tc>
        <w:tc>
          <w:tcPr/>
          <w:p>
            <w:pPr>
              <w:pStyle w:val="Compact"/>
              <w:jc w:val="right"/>
            </w:pPr>
            <w:r>
              <w:t xml:space="preserve">$0.312M</w:t>
            </w:r>
          </w:p>
        </w:tc>
        <w:tc>
          <w:tcPr/>
          <w:p>
            <w:pPr>
              <w:pStyle w:val="Compact"/>
              <w:jc w:val="right"/>
            </w:pPr>
            <w:r>
              <w:t xml:space="preserve">-$6.488M</w:t>
            </w:r>
          </w:p>
        </w:tc>
      </w:tr>
      <w:tr>
        <w:tc>
          <w:tcPr/>
          <w:p>
            <w:pPr>
              <w:pStyle w:val="Compact"/>
            </w:pPr>
            <w:r>
              <w:t xml:space="preserve">Low</w:t>
            </w:r>
          </w:p>
        </w:tc>
        <w:tc>
          <w:tcPr/>
          <w:p>
            <w:pPr>
              <w:pStyle w:val="Compact"/>
              <w:jc w:val="right"/>
            </w:pPr>
            <w:r>
              <w:t xml:space="preserve">2년차</w:t>
            </w:r>
          </w:p>
        </w:tc>
        <w:tc>
          <w:tcPr/>
          <w:p>
            <w:pPr>
              <w:pStyle w:val="Compact"/>
              <w:jc w:val="right"/>
            </w:pPr>
            <w:r>
              <w:t xml:space="preserve">150</w:t>
            </w:r>
          </w:p>
        </w:tc>
        <w:tc>
          <w:tcPr/>
          <w:p>
            <w:pPr>
              <w:pStyle w:val="Compact"/>
              <w:jc w:val="right"/>
            </w:pPr>
            <w:r>
              <w:t xml:space="preserve">$450.0M</w:t>
            </w:r>
          </w:p>
        </w:tc>
        <w:tc>
          <w:tcPr/>
          <w:p>
            <w:pPr>
              <w:pStyle w:val="Compact"/>
              <w:jc w:val="right"/>
            </w:pPr>
            <w:r>
              <w:t xml:space="preserve">$2.010M</w:t>
            </w:r>
          </w:p>
        </w:tc>
        <w:tc>
          <w:tcPr/>
          <w:p>
            <w:pPr>
              <w:pStyle w:val="Compact"/>
              <w:jc w:val="right"/>
            </w:pPr>
            <w:r>
              <w:t xml:space="preserve">$1.628M</w:t>
            </w:r>
          </w:p>
        </w:tc>
        <w:tc>
          <w:tcPr/>
          <w:p>
            <w:pPr>
              <w:pStyle w:val="Compact"/>
              <w:jc w:val="right"/>
            </w:pPr>
            <w:r>
              <w:t xml:space="preserve">-$6.873M</w:t>
            </w:r>
          </w:p>
        </w:tc>
      </w:tr>
      <w:tr>
        <w:tc>
          <w:tcPr/>
          <w:p>
            <w:pPr>
              <w:pStyle w:val="Compact"/>
            </w:pPr>
            <w:r>
              <w:t xml:space="preserve">Low</w:t>
            </w:r>
          </w:p>
        </w:tc>
        <w:tc>
          <w:tcPr/>
          <w:p>
            <w:pPr>
              <w:pStyle w:val="Compact"/>
              <w:jc w:val="right"/>
            </w:pPr>
            <w:r>
              <w:t xml:space="preserve">3년차</w:t>
            </w:r>
          </w:p>
        </w:tc>
        <w:tc>
          <w:tcPr/>
          <w:p>
            <w:pPr>
              <w:pStyle w:val="Compact"/>
              <w:jc w:val="right"/>
            </w:pPr>
            <w:r>
              <w:t xml:space="preserve">400</w:t>
            </w:r>
          </w:p>
        </w:tc>
        <w:tc>
          <w:tcPr/>
          <w:p>
            <w:pPr>
              <w:pStyle w:val="Compact"/>
              <w:jc w:val="right"/>
            </w:pPr>
            <w:r>
              <w:t xml:space="preserve">$1.40B</w:t>
            </w:r>
          </w:p>
        </w:tc>
        <w:tc>
          <w:tcPr/>
          <w:p>
            <w:pPr>
              <w:pStyle w:val="Compact"/>
              <w:jc w:val="right"/>
            </w:pPr>
            <w:r>
              <w:t xml:space="preserve">$6.520M</w:t>
            </w:r>
          </w:p>
        </w:tc>
        <w:tc>
          <w:tcPr/>
          <w:p>
            <w:pPr>
              <w:pStyle w:val="Compact"/>
              <w:jc w:val="right"/>
            </w:pPr>
            <w:r>
              <w:t xml:space="preserve">$5.400M</w:t>
            </w:r>
          </w:p>
        </w:tc>
        <w:tc>
          <w:tcPr/>
          <w:p>
            <w:pPr>
              <w:pStyle w:val="Compact"/>
              <w:jc w:val="right"/>
            </w:pPr>
            <w:r>
              <w:t xml:space="preserve">-$5.600M</w:t>
            </w:r>
          </w:p>
        </w:tc>
      </w:tr>
      <w:tr>
        <w:tc>
          <w:tcPr/>
          <w:p>
            <w:pPr>
              <w:pStyle w:val="Compact"/>
            </w:pPr>
            <w:r>
              <w:t xml:space="preserve">Medium</w:t>
            </w:r>
          </w:p>
        </w:tc>
        <w:tc>
          <w:tcPr/>
          <w:p>
            <w:pPr>
              <w:pStyle w:val="Compact"/>
              <w:jc w:val="right"/>
            </w:pPr>
            <w:r>
              <w:t xml:space="preserve">1년차</w:t>
            </w:r>
          </w:p>
        </w:tc>
        <w:tc>
          <w:tcPr/>
          <w:p>
            <w:pPr>
              <w:pStyle w:val="Compact"/>
              <w:jc w:val="right"/>
            </w:pPr>
            <w:r>
              <w:t xml:space="preserve">75</w:t>
            </w:r>
          </w:p>
        </w:tc>
        <w:tc>
          <w:tcPr/>
          <w:p>
            <w:pPr>
              <w:pStyle w:val="Compact"/>
              <w:jc w:val="right"/>
            </w:pPr>
            <w:r>
              <w:t xml:space="preserve">$187.5M</w:t>
            </w:r>
          </w:p>
        </w:tc>
        <w:tc>
          <w:tcPr/>
          <w:p>
            <w:pPr>
              <w:pStyle w:val="Compact"/>
              <w:jc w:val="right"/>
            </w:pPr>
            <w:r>
              <w:t xml:space="preserve">$1.050M</w:t>
            </w:r>
          </w:p>
        </w:tc>
        <w:tc>
          <w:tcPr/>
          <w:p>
            <w:pPr>
              <w:pStyle w:val="Compact"/>
              <w:jc w:val="right"/>
            </w:pPr>
            <w:r>
              <w:t xml:space="preserve">$0.900M</w:t>
            </w:r>
          </w:p>
        </w:tc>
        <w:tc>
          <w:tcPr/>
          <w:p>
            <w:pPr>
              <w:pStyle w:val="Compact"/>
              <w:jc w:val="right"/>
            </w:pPr>
            <w:r>
              <w:t xml:space="preserve">-$6.300M</w:t>
            </w:r>
          </w:p>
        </w:tc>
      </w:tr>
      <w:tr>
        <w:tc>
          <w:tcPr/>
          <w:p>
            <w:pPr>
              <w:pStyle w:val="Compact"/>
            </w:pPr>
            <w:r>
              <w:t xml:space="preserve">Medium</w:t>
            </w:r>
          </w:p>
        </w:tc>
        <w:tc>
          <w:tcPr/>
          <w:p>
            <w:pPr>
              <w:pStyle w:val="Compact"/>
              <w:jc w:val="right"/>
            </w:pPr>
            <w:r>
              <w:t xml:space="preserve">2년차</w:t>
            </w:r>
          </w:p>
        </w:tc>
        <w:tc>
          <w:tcPr/>
          <w:p>
            <w:pPr>
              <w:pStyle w:val="Compact"/>
              <w:jc w:val="right"/>
            </w:pPr>
            <w:r>
              <w:t xml:space="preserve">300</w:t>
            </w:r>
          </w:p>
        </w:tc>
        <w:tc>
          <w:tcPr/>
          <w:p>
            <w:pPr>
              <w:pStyle w:val="Compact"/>
              <w:jc w:val="right"/>
            </w:pPr>
            <w:r>
              <w:t xml:space="preserve">$1.20B</w:t>
            </w:r>
          </w:p>
        </w:tc>
        <w:tc>
          <w:tcPr/>
          <w:p>
            <w:pPr>
              <w:pStyle w:val="Compact"/>
              <w:jc w:val="right"/>
            </w:pPr>
            <w:r>
              <w:t xml:space="preserve">$6.000M</w:t>
            </w:r>
          </w:p>
        </w:tc>
        <w:tc>
          <w:tcPr/>
          <w:p>
            <w:pPr>
              <w:pStyle w:val="Compact"/>
              <w:jc w:val="right"/>
            </w:pPr>
            <w:r>
              <w:t xml:space="preserve">$5.100M</w:t>
            </w:r>
          </w:p>
        </w:tc>
        <w:tc>
          <w:tcPr/>
          <w:p>
            <w:pPr>
              <w:pStyle w:val="Compact"/>
              <w:jc w:val="right"/>
            </w:pPr>
            <w:r>
              <w:t xml:space="preserve">-$4.100M</w:t>
            </w:r>
          </w:p>
        </w:tc>
      </w:tr>
      <w:tr>
        <w:tc>
          <w:tcPr/>
          <w:p>
            <w:pPr>
              <w:pStyle w:val="Compact"/>
            </w:pPr>
            <w:r>
              <w:t xml:space="preserve">Medium</w:t>
            </w:r>
          </w:p>
        </w:tc>
        <w:tc>
          <w:tcPr/>
          <w:p>
            <w:pPr>
              <w:pStyle w:val="Compact"/>
              <w:jc w:val="right"/>
            </w:pPr>
            <w:r>
              <w:t xml:space="preserve">3년차</w:t>
            </w:r>
          </w:p>
        </w:tc>
        <w:tc>
          <w:tcPr/>
          <w:p>
            <w:pPr>
              <w:pStyle w:val="Compact"/>
              <w:jc w:val="right"/>
            </w:pPr>
            <w:r>
              <w:t xml:space="preserve">900</w:t>
            </w:r>
          </w:p>
        </w:tc>
        <w:tc>
          <w:tcPr/>
          <w:p>
            <w:pPr>
              <w:pStyle w:val="Compact"/>
              <w:jc w:val="right"/>
            </w:pPr>
            <w:r>
              <w:t xml:space="preserve">$4.50B</w:t>
            </w:r>
          </w:p>
        </w:tc>
        <w:tc>
          <w:tcPr/>
          <w:p>
            <w:pPr>
              <w:pStyle w:val="Compact"/>
              <w:jc w:val="right"/>
            </w:pPr>
            <w:r>
              <w:t xml:space="preserve">$22.500M</w:t>
            </w:r>
          </w:p>
        </w:tc>
        <w:tc>
          <w:tcPr/>
          <w:p>
            <w:pPr>
              <w:pStyle w:val="Compact"/>
              <w:jc w:val="right"/>
            </w:pPr>
            <w:r>
              <w:t xml:space="preserve">$19.350M</w:t>
            </w:r>
          </w:p>
        </w:tc>
        <w:tc>
          <w:tcPr/>
          <w:p>
            <w:pPr>
              <w:pStyle w:val="Compact"/>
              <w:jc w:val="right"/>
            </w:pPr>
            <w:r>
              <w:t xml:space="preserve">$7.850M</w:t>
            </w:r>
          </w:p>
        </w:tc>
      </w:tr>
      <w:tr>
        <w:tc>
          <w:tcPr/>
          <w:p>
            <w:pPr>
              <w:pStyle w:val="Compact"/>
            </w:pPr>
            <w:r>
              <w:t xml:space="preserve">High</w:t>
            </w:r>
          </w:p>
        </w:tc>
        <w:tc>
          <w:tcPr/>
          <w:p>
            <w:pPr>
              <w:pStyle w:val="Compact"/>
              <w:jc w:val="right"/>
            </w:pPr>
            <w:r>
              <w:t xml:space="preserve">1년차</w:t>
            </w:r>
          </w:p>
        </w:tc>
        <w:tc>
          <w:tcPr/>
          <w:p>
            <w:pPr>
              <w:pStyle w:val="Compact"/>
              <w:jc w:val="right"/>
            </w:pPr>
            <w:r>
              <w:t xml:space="preserve">120</w:t>
            </w:r>
          </w:p>
        </w:tc>
        <w:tc>
          <w:tcPr/>
          <w:p>
            <w:pPr>
              <w:pStyle w:val="Compact"/>
              <w:jc w:val="right"/>
            </w:pPr>
            <w:r>
              <w:t xml:space="preserve">$360.0M</w:t>
            </w:r>
          </w:p>
        </w:tc>
        <w:tc>
          <w:tcPr/>
          <w:p>
            <w:pPr>
              <w:pStyle w:val="Compact"/>
              <w:jc w:val="right"/>
            </w:pPr>
            <w:r>
              <w:t xml:space="preserve">$2.232M</w:t>
            </w:r>
          </w:p>
        </w:tc>
        <w:tc>
          <w:tcPr/>
          <w:p>
            <w:pPr>
              <w:pStyle w:val="Compact"/>
              <w:jc w:val="right"/>
            </w:pPr>
            <w:r>
              <w:t xml:space="preserve">$1.980M</w:t>
            </w:r>
          </w:p>
        </w:tc>
        <w:tc>
          <w:tcPr/>
          <w:p>
            <w:pPr>
              <w:pStyle w:val="Compact"/>
              <w:jc w:val="right"/>
            </w:pPr>
            <w:r>
              <w:t xml:space="preserve">-$5.820M</w:t>
            </w:r>
          </w:p>
        </w:tc>
      </w:tr>
      <w:tr>
        <w:tc>
          <w:tcPr/>
          <w:p>
            <w:pPr>
              <w:pStyle w:val="Compact"/>
            </w:pPr>
            <w:r>
              <w:t xml:space="preserve">High</w:t>
            </w:r>
          </w:p>
        </w:tc>
        <w:tc>
          <w:tcPr/>
          <w:p>
            <w:pPr>
              <w:pStyle w:val="Compact"/>
              <w:jc w:val="right"/>
            </w:pPr>
            <w:r>
              <w:t xml:space="preserve">2년차</w:t>
            </w:r>
          </w:p>
        </w:tc>
        <w:tc>
          <w:tcPr/>
          <w:p>
            <w:pPr>
              <w:pStyle w:val="Compact"/>
              <w:jc w:val="right"/>
            </w:pPr>
            <w:r>
              <w:t xml:space="preserve">600</w:t>
            </w:r>
          </w:p>
        </w:tc>
        <w:tc>
          <w:tcPr/>
          <w:p>
            <w:pPr>
              <w:pStyle w:val="Compact"/>
              <w:jc w:val="right"/>
            </w:pPr>
            <w:r>
              <w:t xml:space="preserve">$3.00B</w:t>
            </w:r>
          </w:p>
        </w:tc>
        <w:tc>
          <w:tcPr/>
          <w:p>
            <w:pPr>
              <w:pStyle w:val="Compact"/>
              <w:jc w:val="right"/>
            </w:pPr>
            <w:r>
              <w:t xml:space="preserve">$15.600M</w:t>
            </w:r>
          </w:p>
        </w:tc>
        <w:tc>
          <w:tcPr/>
          <w:p>
            <w:pPr>
              <w:pStyle w:val="Compact"/>
              <w:jc w:val="right"/>
            </w:pPr>
            <w:r>
              <w:t xml:space="preserve">$13.650M</w:t>
            </w:r>
          </w:p>
        </w:tc>
        <w:tc>
          <w:tcPr/>
          <w:p>
            <w:pPr>
              <w:pStyle w:val="Compact"/>
              <w:jc w:val="right"/>
            </w:pPr>
            <w:r>
              <w:t xml:space="preserve">$3.150M</w:t>
            </w:r>
          </w:p>
        </w:tc>
      </w:tr>
      <w:tr>
        <w:tc>
          <w:tcPr/>
          <w:p>
            <w:pPr>
              <w:pStyle w:val="Compact"/>
            </w:pPr>
            <w:r>
              <w:t xml:space="preserve">High</w:t>
            </w:r>
          </w:p>
        </w:tc>
        <w:tc>
          <w:tcPr/>
          <w:p>
            <w:pPr>
              <w:pStyle w:val="Compact"/>
              <w:jc w:val="right"/>
            </w:pPr>
            <w:r>
              <w:t xml:space="preserve">3년차</w:t>
            </w:r>
          </w:p>
        </w:tc>
        <w:tc>
          <w:tcPr/>
          <w:p>
            <w:pPr>
              <w:pStyle w:val="Compact"/>
              <w:jc w:val="right"/>
            </w:pPr>
            <w:r>
              <w:t xml:space="preserve">1,800</w:t>
            </w:r>
          </w:p>
        </w:tc>
        <w:tc>
          <w:tcPr/>
          <w:p>
            <w:pPr>
              <w:pStyle w:val="Compact"/>
              <w:jc w:val="right"/>
            </w:pPr>
            <w:r>
              <w:t xml:space="preserve">$10.80B</w:t>
            </w:r>
          </w:p>
        </w:tc>
        <w:tc>
          <w:tcPr/>
          <w:p>
            <w:pPr>
              <w:pStyle w:val="Compact"/>
              <w:jc w:val="right"/>
            </w:pPr>
            <w:r>
              <w:t xml:space="preserve">$56.160M</w:t>
            </w:r>
          </w:p>
        </w:tc>
        <w:tc>
          <w:tcPr/>
          <w:p>
            <w:pPr>
              <w:pStyle w:val="Compact"/>
              <w:jc w:val="right"/>
            </w:pPr>
            <w:r>
              <w:t xml:space="preserve">$49.680M</w:t>
            </w:r>
          </w:p>
        </w:tc>
        <w:tc>
          <w:tcPr/>
          <w:p>
            <w:pPr>
              <w:pStyle w:val="Compact"/>
              <w:jc w:val="right"/>
            </w:pPr>
            <w:r>
              <w:t xml:space="preserve">$36.180M</w:t>
            </w:r>
          </w:p>
        </w:tc>
      </w:tr>
    </w:tbl>
    <w:p>
      <w:pPr>
        <w:pStyle w:val="BodyText"/>
      </w:pPr>
      <w:r>
        <w:rPr>
          <w:b/>
          <w:bCs/>
        </w:rPr>
        <w:t xml:space="preserve">모형 설명</w:t>
      </w:r>
      <w:r>
        <w:br/>
      </w:r>
      <w:r>
        <w:t xml:space="preserve">중간 시나리오는 1년차 75개 고객, 고객당 연간 GMV 250만 달러, 거래 매출 20bp, 연간 구독 9천 달러에서 시작해 3년차 900개 고객, 고객당 500만 달러, 연간 구독 1.5만 달러 수준으로 확장하는 케이스다. 직접원가는 8bp에서 7bp로 하락한다고 가정했다. 이 구조에서는 3년차 손익분기점 돌파가 가능하다.</w:t>
      </w:r>
    </w:p>
    <w:bookmarkEnd w:id="50"/>
    <w:bookmarkEnd w:id="51"/>
    <w:bookmarkStart w:id="57" w:name="roadmap-governance-team-and-kpis"/>
    <w:p>
      <w:pPr>
        <w:pStyle w:val="Heading2"/>
      </w:pPr>
      <w:r>
        <w:t xml:space="preserve">Roadmap, Governance, Team, and KPIs</w:t>
      </w:r>
    </w:p>
    <w:bookmarkStart w:id="52" w:name="implementation-roadmap"/>
    <w:p>
      <w:pPr>
        <w:pStyle w:val="Heading3"/>
      </w:pPr>
      <w:r>
        <w:t xml:space="preserve">Implementation Roadmap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기간</w:t>
            </w:r>
          </w:p>
        </w:tc>
        <w:tc>
          <w:tcPr/>
          <w:p>
            <w:pPr>
              <w:pStyle w:val="Compact"/>
            </w:pPr>
            <w:r>
              <w:t xml:space="preserve">핵심 산출물</w:t>
            </w:r>
          </w:p>
        </w:tc>
        <w:tc>
          <w:tcPr/>
          <w:p>
            <w:pPr>
              <w:pStyle w:val="Compact"/>
            </w:pPr>
            <w:r>
              <w:t xml:space="preserve">성공 기준</w:t>
            </w:r>
          </w:p>
        </w:tc>
      </w:tr>
      <w:tr>
        <w:tc>
          <w:tcPr/>
          <w:p>
            <w:pPr>
              <w:pStyle w:val="Compact"/>
            </w:pPr>
            <w:r>
              <w:t xml:space="preserve">3개월</w:t>
            </w:r>
          </w:p>
        </w:tc>
        <w:tc>
          <w:tcPr/>
          <w:p>
            <w:pPr>
              <w:pStyle w:val="Compact"/>
            </w:pPr>
            <w:r>
              <w:t xml:space="preserve">법률 스코핑, 파트너 LOI, Base+USDC 파일럿, 기업 온보딩/KYB, 내부원장, 인보이스 파서 알파</w:t>
            </w:r>
          </w:p>
        </w:tc>
        <w:tc>
          <w:tcPr/>
          <w:p>
            <w:pPr>
              <w:pStyle w:val="Compact"/>
            </w:pPr>
            <w:r>
              <w:t xml:space="preserve">첫 파일럿 고객 2~3곳, 테스트넷/샌드박스 정산 성공</w:t>
            </w:r>
          </w:p>
        </w:tc>
      </w:tr>
      <w:tr>
        <w:tc>
          <w:tcPr/>
          <w:p>
            <w:pPr>
              <w:pStyle w:val="Compact"/>
            </w:pPr>
            <w:r>
              <w:t xml:space="preserve">6개월</w:t>
            </w:r>
          </w:p>
        </w:tc>
        <w:tc>
          <w:tcPr/>
          <w:p>
            <w:pPr>
              <w:pStyle w:val="Compact"/>
            </w:pPr>
            <w:r>
              <w:t xml:space="preserve">메인넷 시범 운영, 승인 정책, 제재·체인 분석, 은행/온오프램프 연동, ERP export, 감사지표 대시보드</w:t>
            </w:r>
          </w:p>
        </w:tc>
        <w:tc>
          <w:tcPr/>
          <w:p>
            <w:pPr>
              <w:pStyle w:val="Compact"/>
            </w:pPr>
            <w:r>
              <w:t xml:space="preserve">월간 정산액 500만~1,000만 달러, 자동 대사율 80%+</w:t>
            </w:r>
          </w:p>
        </w:tc>
      </w:tr>
      <w:tr>
        <w:tc>
          <w:tcPr/>
          <w:p>
            <w:pPr>
              <w:pStyle w:val="Compact"/>
            </w:pPr>
            <w:r>
              <w:t xml:space="preserve">12개월</w:t>
            </w:r>
          </w:p>
        </w:tc>
        <w:tc>
          <w:tcPr/>
          <w:p>
            <w:pPr>
              <w:pStyle w:val="Compact"/>
            </w:pPr>
            <w:r>
              <w:t xml:space="preserve">EU 회랑 확장, CCTP 멀티체인, 화이트라벨 API, 탄소·ESG 정산 모듈, 보안감사 및 외부보증</w:t>
            </w:r>
          </w:p>
        </w:tc>
        <w:tc>
          <w:tcPr/>
          <w:p>
            <w:pPr>
              <w:pStyle w:val="Compact"/>
            </w:pPr>
            <w:r>
              <w:t xml:space="preserve">10개+ 유상 고객, 월간 GMV 2,500만 달러+, 실패거래율 0.5% 미만</w:t>
            </w:r>
          </w:p>
        </w:tc>
      </w:tr>
    </w:tbl>
    <w:p>
      <w:pPr>
        <w:pStyle w:val="BodyText"/>
      </w:pPr>
      <w:r>
        <w:t xml:space="preserve">로드맵의 핵심은 “먼저 지급 레일을 만들고, 그다음 금융상품을 얹는 것”이 아니라</w:t>
      </w:r>
      <w:r>
        <w:t xml:space="preserve"> </w:t>
      </w:r>
      <w:r>
        <w:rPr>
          <w:b/>
          <w:bCs/>
        </w:rPr>
        <w:t xml:space="preserve">먼저 회계·컴플라이언스·증빙 시스템을 완성하고, 그 위에 지급 레일을 얹는 것</w:t>
      </w:r>
      <w:r>
        <w:t xml:space="preserve">이다. 특히 탄소·ESG는 자산 토큰화보다 결제-대사-증빙의 완결성이 먼저다.</w:t>
      </w:r>
    </w:p>
    <w:bookmarkEnd w:id="52"/>
    <w:bookmarkStart w:id="53" w:name="governance-and-token-policy"/>
    <w:p>
      <w:pPr>
        <w:pStyle w:val="Heading3"/>
      </w:pPr>
      <w:r>
        <w:t xml:space="preserve">Governance and Token Policy</w:t>
      </w:r>
    </w:p>
    <w:p>
      <w:pPr>
        <w:pStyle w:val="FirstParagraph"/>
      </w:pPr>
      <w:r>
        <w:t xml:space="preserve">초기에는</w:t>
      </w:r>
      <w:r>
        <w:t xml:space="preserve"> </w:t>
      </w:r>
      <w:r>
        <w:rPr>
          <w:b/>
          <w:bCs/>
        </w:rPr>
        <w:t xml:space="preserve">네이티브 토큰을 발행하지 않는 것</w:t>
      </w:r>
      <w:r>
        <w:t xml:space="preserve">이 맞다. 그 이유는 세 가지다. 첫째, 제품-시장 적합성을 토큰 경제학이 아니라 실질 결제수요로 검증해야 한다. 둘째, 규제형 달러 스테이블코인을 이미 사용할 수 있는데, 별도 토큰은 오히려 법적 불확실성과 회계 복잡성을 키운다. 셋째, B2B 고객은 가격변동성 자산보다 상환 가능성과 회계처리 용이성을 원한다.</w:t>
      </w:r>
    </w:p>
    <w:p>
      <w:pPr>
        <w:pStyle w:val="BodyText"/>
      </w:pPr>
      <w:r>
        <w:t xml:space="preserve">브랜드 스테이블코인을</w:t>
      </w:r>
      <w:r>
        <w:t xml:space="preserve"> </w:t>
      </w:r>
      <w:r>
        <w:rPr>
          <w:b/>
          <w:bCs/>
        </w:rPr>
        <w:t xml:space="preserve">나중에</w:t>
      </w:r>
      <w:r>
        <w:t xml:space="preserve"> </w:t>
      </w:r>
      <w:r>
        <w:t xml:space="preserve">검토할 조건은 엄격해야 한다.</w:t>
      </w:r>
      <w:r>
        <w:br/>
      </w:r>
      <w:r>
        <w:t xml:space="preserve">첫째, 연간 결제 GMV가 최소 10억 달러 이상이고, 지속적인 상환·민트 수요가 있어야 한다.</w:t>
      </w:r>
      <w:r>
        <w:br/>
      </w:r>
      <w:r>
        <w:t xml:space="preserve">둘째, 허가된 발행자 구조—은행·EMI·허가발행자 혹은 화이트라벨 발행 파트너—가 확보돼야 한다.</w:t>
      </w:r>
      <w:r>
        <w:br/>
      </w:r>
      <w:r>
        <w:t xml:space="preserve">셋째, 준비자산 정책, 상환 SLA, 월별 보증, 일별 투명성 템플릿, 제재·AML 프로그램이 선행돼야 한다.</w:t>
      </w:r>
      <w:r>
        <w:br/>
      </w:r>
      <w:r>
        <w:t xml:space="preserve">넷째, 한국의 스테이블코인 규율체계와 EU/미국 실무요건이 정리돼야 한다.</w:t>
      </w:r>
      <w:r>
        <w:br/>
      </w:r>
      <w:r>
        <w:t xml:space="preserve">다섯째, 독립 이사와 리스크위원회를 포함한 운영 거버넌스가 먼저 자리잡아야 한다.</w:t>
      </w:r>
    </w:p>
    <w:bookmarkEnd w:id="53"/>
    <w:bookmarkStart w:id="54" w:name="required-team-and-budget"/>
    <w:p>
      <w:pPr>
        <w:pStyle w:val="Heading3"/>
      </w:pPr>
      <w:r>
        <w:t xml:space="preserve">Required Team and Budget</w:t>
      </w:r>
    </w:p>
    <w:p>
      <w:pPr>
        <w:pStyle w:val="FirstParagraph"/>
      </w:pPr>
      <w:r>
        <w:t xml:space="preserve">초기 12개월 기준 권장 조직은 18~22명 수준이다. 제품 2명, 백엔드/인프라 5명, 프론트엔드 2명, 블록체인/지갑 2명, 보안/DevSecOps 2명, 컴플라이언스 2명, 법무·정책 1~2명, 파트너십/세일즈 3명, 운영·재무 2명이 기본형이다.</w:t>
      </w:r>
    </w:p>
    <w:p>
      <w:pPr>
        <w:pStyle w:val="BodyText"/>
      </w:pPr>
      <w:r>
        <w:t xml:space="preserve">예산은 파트너 주도형 기준으로 아래가 현실적이다.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jc w:val="right"/>
            </w:pPr>
            <w:r>
              <w:t xml:space="preserve">12개월 추정</w:t>
            </w:r>
          </w:p>
        </w:tc>
      </w:tr>
      <w:tr>
        <w:tc>
          <w:tcPr/>
          <w:p>
            <w:pPr>
              <w:pStyle w:val="Compact"/>
            </w:pPr>
            <w:r>
              <w:t xml:space="preserve">인건비</w:t>
            </w:r>
          </w:p>
        </w:tc>
        <w:tc>
          <w:tcPr/>
          <w:p>
            <w:pPr>
              <w:pStyle w:val="Compact"/>
              <w:jc w:val="right"/>
            </w:pPr>
            <w:r>
              <w:t xml:space="preserve">$4.6M – $5.8M</w:t>
            </w:r>
          </w:p>
        </w:tc>
      </w:tr>
      <w:tr>
        <w:tc>
          <w:tcPr/>
          <w:p>
            <w:pPr>
              <w:pStyle w:val="Compact"/>
            </w:pPr>
            <w:r>
              <w:t xml:space="preserve">외부 법률·라이선스·규제의견</w:t>
            </w:r>
          </w:p>
        </w:tc>
        <w:tc>
          <w:tcPr/>
          <w:p>
            <w:pPr>
              <w:pStyle w:val="Compact"/>
              <w:jc w:val="right"/>
            </w:pPr>
            <w:r>
              <w:t xml:space="preserve">$0.7M – $1.5M</w:t>
            </w:r>
          </w:p>
        </w:tc>
      </w:tr>
      <w:tr>
        <w:tc>
          <w:tcPr/>
          <w:p>
            <w:pPr>
              <w:pStyle w:val="Compact"/>
            </w:pPr>
            <w:r>
              <w:t xml:space="preserve">보안감사·침투테스트·컴플라이언스 툴</w:t>
            </w:r>
          </w:p>
        </w:tc>
        <w:tc>
          <w:tcPr/>
          <w:p>
            <w:pPr>
              <w:pStyle w:val="Compact"/>
              <w:jc w:val="right"/>
            </w:pPr>
            <w:r>
              <w:t xml:space="preserve">$0.6M – $1.0M</w:t>
            </w:r>
          </w:p>
        </w:tc>
      </w:tr>
      <w:tr>
        <w:tc>
          <w:tcPr/>
          <w:p>
            <w:pPr>
              <w:pStyle w:val="Compact"/>
            </w:pPr>
            <w:r>
              <w:t xml:space="preserve">클라우드·데이터·노드·모니터링</w:t>
            </w:r>
          </w:p>
        </w:tc>
        <w:tc>
          <w:tcPr/>
          <w:p>
            <w:pPr>
              <w:pStyle w:val="Compact"/>
              <w:jc w:val="right"/>
            </w:pPr>
            <w:r>
              <w:t xml:space="preserve">$0.4M – $0.8M</w:t>
            </w:r>
          </w:p>
        </w:tc>
      </w:tr>
      <w:tr>
        <w:tc>
          <w:tcPr/>
          <w:p>
            <w:pPr>
              <w:pStyle w:val="Compact"/>
            </w:pPr>
            <w:r>
              <w:t xml:space="preserve">사업개발·GTM·파트너 온보딩</w:t>
            </w:r>
          </w:p>
        </w:tc>
        <w:tc>
          <w:tcPr/>
          <w:p>
            <w:pPr>
              <w:pStyle w:val="Compact"/>
              <w:jc w:val="right"/>
            </w:pPr>
            <w:r>
              <w:t xml:space="preserve">$0.5M – $1.0M</w:t>
            </w:r>
          </w:p>
        </w:tc>
      </w:tr>
      <w:tr>
        <w:tc>
          <w:tcPr/>
          <w:p>
            <w:pPr>
              <w:pStyle w:val="Compact"/>
            </w:pPr>
            <w:r>
              <w:t xml:space="preserve">총 OPEX</w:t>
            </w:r>
          </w:p>
        </w:tc>
        <w:tc>
          <w:tcPr/>
          <w:p>
            <w:pPr>
              <w:pStyle w:val="Compact"/>
              <w:jc w:val="right"/>
            </w:pPr>
            <w:r>
              <w:rPr>
                <w:b/>
                <w:bCs/>
              </w:rPr>
              <w:t xml:space="preserve">$6.8M – $10.1M</w:t>
            </w:r>
          </w:p>
        </w:tc>
      </w:tr>
      <w:tr>
        <w:tc>
          <w:tcPr/>
          <w:p>
            <w:pPr>
              <w:pStyle w:val="Compact"/>
            </w:pPr>
            <w:r>
              <w:t xml:space="preserve">CAPEX</w:t>
            </w:r>
          </w:p>
        </w:tc>
        <w:tc>
          <w:tcPr/>
          <w:p>
            <w:pPr>
              <w:pStyle w:val="Compact"/>
              <w:jc w:val="right"/>
            </w:pPr>
            <w:r>
              <w:t xml:space="preserve">$0.3M – $0.8M</w:t>
            </w:r>
          </w:p>
        </w:tc>
      </w:tr>
    </w:tbl>
    <w:p>
      <w:pPr>
        <w:pStyle w:val="BodyText"/>
      </w:pPr>
      <w:r>
        <w:t xml:space="preserve">즉, 중간 시나리오를 전제로 하면 초기 24개월 런웨이를 위해 약 1,200만~1,800만 달러의 자금조달이 실무적으로 타당하다. 이는 직영 라이선스 취득을 늦추고 파트너 모델을 적극 사용하는 조건의 수치다.</w:t>
      </w:r>
    </w:p>
    <w:bookmarkEnd w:id="54"/>
    <w:bookmarkStart w:id="55" w:name="core-kpis"/>
    <w:p>
      <w:pPr>
        <w:pStyle w:val="Heading3"/>
      </w:pPr>
      <w:r>
        <w:t xml:space="preserve">Core KPIs</w:t>
      </w:r>
    </w:p>
    <w:p>
      <w:pPr>
        <w:pStyle w:val="FirstParagraph"/>
      </w:pPr>
      <w:r>
        <w:t xml:space="preserve">운영 KPI는 단순 거래액보다</w:t>
      </w:r>
      <w:r>
        <w:t xml:space="preserve"> </w:t>
      </w:r>
      <w:r>
        <w:rPr>
          <w:b/>
          <w:bCs/>
        </w:rPr>
        <w:t xml:space="preserve">통제 품질</w:t>
      </w:r>
      <w:r>
        <w:t xml:space="preserve">을 함께 봐야 한다.</w:t>
      </w:r>
      <w:r>
        <w:br/>
      </w:r>
      <w:r>
        <w:t xml:space="preserve">월간 활성 기업고객 수, 월간·연간 정산 GMV, 고객당 평균 정산액, 동일영업일/1시간 내 정산비율, 평균 정산비용(bp), 자동 대사율, 온오프램프 성공률, 실패거래율, 제재/사기 오탐률, KYB 완료까지 걸리는 시간, 고객당 ARR, 그로스 마진, NRR이 핵심이다.</w:t>
      </w:r>
      <w:r>
        <w:br/>
      </w:r>
      <w:r>
        <w:t xml:space="preserve">탄소·ESG 세그먼트에서는 프로젝트별 증빙완결도, 거래대금-크레딧 이전 매칭률, 감사 추적성도 추가 KPI로 보아야 한다.</w:t>
      </w:r>
    </w:p>
    <w:bookmarkEnd w:id="55"/>
    <w:bookmarkStart w:id="56" w:name="open-questions-and-limitations"/>
    <w:p>
      <w:pPr>
        <w:pStyle w:val="Heading3"/>
      </w:pPr>
      <w:r>
        <w:t xml:space="preserve">Open Questions and Limitations</w:t>
      </w:r>
    </w:p>
    <w:p>
      <w:pPr>
        <w:pStyle w:val="FirstParagraph"/>
      </w:pPr>
      <w:r>
        <w:t xml:space="preserve">본 초안에는 몇 가지 열린 쟁점이 있다. 첫째, 한국에서의 정확한 규제지위는</w:t>
      </w:r>
      <w:r>
        <w:t xml:space="preserve"> </w:t>
      </w:r>
      <w:r>
        <w:rPr>
          <w:b/>
          <w:bCs/>
        </w:rPr>
        <w:t xml:space="preserve">누가 법정화폐를 받고 누가 지갑 키를 통제하느냐</w:t>
      </w:r>
      <w:r>
        <w:t xml:space="preserve">에 따라 크게 달라진다. 둘째, EU에서는 MiCA 외에도 실제 fiat leg가 어디서 실행되는지에 따라 별도의 결제서비스 분석이 필요할 수 있다. 셋째, 미국에서는 money transmission 해석이 주별로 달라질 수 있으므로, 파트너 모델이라도 상태별 법률의견이 필요하다. 넷째, 탄소크레딧은 레지스트리마다 이전 승인과 명의변경 프로세스가 달라, MVP에서는 “토큰화”보다 “결제·증빙·대사”에 집중하는 것이 현실적이다. 다섯째, 재무모형은 시뮬레이션이므로 파트너 수수료 계약, FX 스프레드, 고객 획득비용에 따라 크게 변동될 수 있다.</w:t>
      </w:r>
    </w:p>
    <w:p>
      <w:pPr>
        <w:pStyle w:val="BodyText"/>
      </w:pPr>
      <w:r>
        <w:t xml:space="preserve">최종 권고는 명확하다. 이 플랫폼은</w:t>
      </w:r>
      <w:r>
        <w:t xml:space="preserve"> </w:t>
      </w:r>
      <w:r>
        <w:rPr>
          <w:b/>
          <w:bCs/>
        </w:rPr>
        <w:t xml:space="preserve">스테이블코인 발행사</w:t>
      </w:r>
      <w:r>
        <w:t xml:space="preserve">로 시작해선 안 된다. 대신</w:t>
      </w:r>
      <w:r>
        <w:t xml:space="preserve"> </w:t>
      </w:r>
      <w:r>
        <w:rPr>
          <w:b/>
          <w:bCs/>
        </w:rPr>
        <w:t xml:space="preserve">엔터프라이즈 지급 운영체제</w:t>
      </w:r>
      <w:r>
        <w:t xml:space="preserve">로 시작해야 한다. 기존 규제형 달러 스테이블코인, 파트너 수탁, 체계적 AML/KYB, 강한 내부통제, 자동 대사를 결합하면, B2B 정산과 ESG·탄소 거래의 “마지막 20% 운영 마찰”을 줄이는 현실적이고 투자 가능한 사업이 된다.</w:t>
      </w:r>
      <w:r>
        <w:t xml:space="preserve"> </w:t>
      </w:r>
      <w:hyperlink r:id="rId21">
        <w:r>
          <w:rPr>
            <w:rStyle w:val="Hyperlink"/>
          </w:rPr>
          <w:t xml:space="preserve">[56]</w:t>
        </w:r>
      </w:hyperlink>
    </w:p>
    <w:bookmarkEnd w:id="56"/>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[8]</w:t>
        </w:r>
      </w:hyperlink>
      <w:r>
        <w:t xml:space="preserve"> </w:t>
      </w:r>
      <w:hyperlink r:id="rId21">
        <w:r>
          <w:rPr>
            <w:rStyle w:val="Hyperlink"/>
          </w:rPr>
          <w:t xml:space="preserve">[15]</w:t>
        </w:r>
      </w:hyperlink>
      <w:r>
        <w:t xml:space="preserve"> </w:t>
      </w:r>
      <w:hyperlink r:id="rId21">
        <w:r>
          <w:rPr>
            <w:rStyle w:val="Hyperlink"/>
          </w:rPr>
          <w:t xml:space="preserve">[27]</w:t>
        </w:r>
      </w:hyperlink>
      <w:r>
        <w:t xml:space="preserve"> </w:t>
      </w:r>
      <w:hyperlink r:id="rId21">
        <w:r>
          <w:rPr>
            <w:rStyle w:val="Hyperlink"/>
          </w:rPr>
          <w:t xml:space="preserve">[32]</w:t>
        </w:r>
      </w:hyperlink>
      <w:r>
        <w:t xml:space="preserve"> </w:t>
      </w:r>
      <w:hyperlink r:id="rId21">
        <w:r>
          <w:rPr>
            <w:rStyle w:val="Hyperlink"/>
          </w:rPr>
          <w:t xml:space="preserve">[38]</w:t>
        </w:r>
      </w:hyperlink>
      <w:r>
        <w:t xml:space="preserve"> </w:t>
      </w:r>
      <w:hyperlink r:id="rId21">
        <w:r>
          <w:rPr>
            <w:rStyle w:val="Hyperlink"/>
          </w:rPr>
          <w:t xml:space="preserve">[41]</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21">
        <w:r>
          <w:rPr>
            <w:rStyle w:val="Hyperlink"/>
          </w:rPr>
          <w:t xml:space="preserve">[56]</w:t>
        </w:r>
      </w:hyperlink>
      <w:r>
        <w:t xml:space="preserve"> </w:t>
      </w:r>
      <w:r>
        <w:t xml:space="preserve">https://developers.circle.com/stablecoins/what-is-usdc</w:t>
      </w:r>
    </w:p>
    <w:p>
      <w:pPr>
        <w:pStyle w:val="BodyText"/>
      </w:pPr>
      <w:hyperlink r:id="rId21">
        <w:r>
          <w:rPr>
            <w:rStyle w:val="Hyperlink"/>
          </w:rPr>
          <w:t xml:space="preserve">https://developers.circle.com/stablecoins/what-is-usdc</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[13]</w:t>
        </w:r>
      </w:hyperlink>
      <w:r>
        <w:t xml:space="preserve"> </w:t>
      </w:r>
      <w:hyperlink r:id="rId22">
        <w:r>
          <w:rPr>
            <w:rStyle w:val="Hyperlink"/>
          </w:rPr>
          <w:t xml:space="preserve">[55]</w:t>
        </w:r>
      </w:hyperlink>
      <w:r>
        <w:t xml:space="preserve"> </w:t>
      </w:r>
      <w:r>
        <w:t xml:space="preserve">https://www.circle.com/circle-mint</w:t>
      </w:r>
    </w:p>
    <w:p>
      <w:pPr>
        <w:pStyle w:val="BodyText"/>
      </w:pPr>
      <w:hyperlink r:id="rId22">
        <w:r>
          <w:rPr>
            <w:rStyle w:val="Hyperlink"/>
          </w:rPr>
          <w:t xml:space="preserve">https://www.circle.com/circle-mint</w:t>
        </w:r>
      </w:hyperlink>
    </w:p>
    <w:p>
      <w:pPr>
        <w:pStyle w:val="BodyText"/>
      </w:pPr>
      <w:hyperlink r:id="rId23">
        <w:r>
          <w:rPr>
            <w:rStyle w:val="Hyperlink"/>
          </w:rPr>
          <w:t xml:space="preserve">[3]</w:t>
        </w:r>
      </w:hyperlink>
      <w:r>
        <w:t xml:space="preserve"> </w:t>
      </w:r>
      <w:hyperlink r:id="rId23">
        <w:r>
          <w:rPr>
            <w:rStyle w:val="Hyperlink"/>
          </w:rPr>
          <w:t xml:space="preserve">[20]</w:t>
        </w:r>
      </w:hyperlink>
      <w:r>
        <w:t xml:space="preserve"> </w:t>
      </w:r>
      <w:hyperlink r:id="rId23">
        <w:r>
          <w:rPr>
            <w:rStyle w:val="Hyperlink"/>
          </w:rPr>
          <w:t xml:space="preserve">[25]</w:t>
        </w:r>
      </w:hyperlink>
      <w:r>
        <w:t xml:space="preserve"> </w:t>
      </w:r>
      <w:hyperlink r:id="rId23">
        <w:r>
          <w:rPr>
            <w:rStyle w:val="Hyperlink"/>
          </w:rPr>
          <w:t xml:space="preserve">[42]</w:t>
        </w:r>
      </w:hyperlink>
      <w:r>
        <w:t xml:space="preserve"> </w:t>
      </w:r>
      <w:hyperlink r:id="rId23">
        <w:r>
          <w:rPr>
            <w:rStyle w:val="Hyperlink"/>
          </w:rPr>
          <w:t xml:space="preserve">[45]</w:t>
        </w:r>
      </w:hyperlink>
      <w:r>
        <w:t xml:space="preserve"> </w:t>
      </w:r>
      <w:hyperlink r:id="rId23">
        <w:r>
          <w:rPr>
            <w:rStyle w:val="Hyperlink"/>
          </w:rPr>
          <w:t xml:space="preserve">[47]</w:t>
        </w:r>
      </w:hyperlink>
      <w:r>
        <w:t xml:space="preserve"> </w:t>
      </w:r>
      <w:hyperlink r:id="rId23">
        <w:r>
          <w:rPr>
            <w:rStyle w:val="Hyperlink"/>
          </w:rPr>
          <w:t xml:space="preserve">[53]</w:t>
        </w:r>
      </w:hyperlink>
      <w:r>
        <w:t xml:space="preserve"> </w:t>
      </w:r>
      <w:r>
        <w:t xml:space="preserve">https://developers.circle.com/wallets</w:t>
      </w:r>
    </w:p>
    <w:p>
      <w:pPr>
        <w:pStyle w:val="BodyText"/>
      </w:pPr>
      <w:hyperlink r:id="rId23">
        <w:r>
          <w:rPr>
            <w:rStyle w:val="Hyperlink"/>
          </w:rPr>
          <w:t xml:space="preserve">https://developers.circle.com/wallets</w:t>
        </w:r>
      </w:hyperlink>
    </w:p>
    <w:p>
      <w:pPr>
        <w:pStyle w:val="BodyText"/>
      </w:pPr>
      <w:hyperlink r:id="rId24">
        <w:r>
          <w:rPr>
            <w:rStyle w:val="Hyperlink"/>
          </w:rPr>
          <w:t xml:space="preserve">[4]</w:t>
        </w:r>
      </w:hyperlink>
      <w:r>
        <w:t xml:space="preserve"> </w:t>
      </w:r>
      <w:hyperlink r:id="rId24">
        <w:r>
          <w:rPr>
            <w:rStyle w:val="Hyperlink"/>
          </w:rPr>
          <w:t xml:space="preserve">[14]</w:t>
        </w:r>
      </w:hyperlink>
      <w:r>
        <w:t xml:space="preserve"> </w:t>
      </w:r>
      <w:hyperlink r:id="rId24">
        <w:r>
          <w:rPr>
            <w:rStyle w:val="Hyperlink"/>
          </w:rPr>
          <w:t xml:space="preserve">[29]</w:t>
        </w:r>
      </w:hyperlink>
      <w:r>
        <w:t xml:space="preserve"> </w:t>
      </w:r>
      <w:hyperlink r:id="rId24">
        <w:r>
          <w:rPr>
            <w:rStyle w:val="Hyperlink"/>
          </w:rPr>
          <w:t xml:space="preserve">[54]</w:t>
        </w:r>
      </w:hyperlink>
      <w:r>
        <w:t xml:space="preserve"> </w:t>
      </w:r>
      <w:r>
        <w:t xml:space="preserve">https://eur-lex.europa.eu/eli/reg/2016/679/oj/eng</w:t>
      </w:r>
    </w:p>
    <w:p>
      <w:pPr>
        <w:pStyle w:val="BodyText"/>
      </w:pPr>
      <w:hyperlink r:id="rId24">
        <w:r>
          <w:rPr>
            <w:rStyle w:val="Hyperlink"/>
          </w:rPr>
          <w:t xml:space="preserve">https://eur-lex.europa.eu/eli/reg/2016/679/oj/eng</w:t>
        </w:r>
      </w:hyperlink>
    </w:p>
    <w:p>
      <w:pPr>
        <w:pStyle w:val="BodyText"/>
      </w:pPr>
      <w:hyperlink r:id="rId25">
        <w:r>
          <w:rPr>
            <w:rStyle w:val="Hyperlink"/>
          </w:rPr>
          <w:t xml:space="preserve">[6]</w:t>
        </w:r>
      </w:hyperlink>
      <w:r>
        <w:t xml:space="preserve"> </w:t>
      </w:r>
      <w:hyperlink r:id="rId25">
        <w:r>
          <w:rPr>
            <w:rStyle w:val="Hyperlink"/>
          </w:rPr>
          <w:t xml:space="preserve">[24]</w:t>
        </w:r>
      </w:hyperlink>
      <w:r>
        <w:t xml:space="preserve"> </w:t>
      </w:r>
      <w:r>
        <w:t xml:space="preserve">https://www.circle.com/usdc</w:t>
      </w:r>
    </w:p>
    <w:p>
      <w:pPr>
        <w:pStyle w:val="BodyText"/>
      </w:pPr>
      <w:hyperlink r:id="rId25">
        <w:r>
          <w:rPr>
            <w:rStyle w:val="Hyperlink"/>
          </w:rPr>
          <w:t xml:space="preserve">https://www.circle.com/usdc</w:t>
        </w:r>
      </w:hyperlink>
    </w:p>
    <w:p>
      <w:pPr>
        <w:pStyle w:val="BodyText"/>
      </w:pPr>
      <w:hyperlink r:id="rId26">
        <w:r>
          <w:rPr>
            <w:rStyle w:val="Hyperlink"/>
          </w:rPr>
          <w:t xml:space="preserve">[7]</w:t>
        </w:r>
      </w:hyperlink>
      <w:r>
        <w:t xml:space="preserve"> </w:t>
      </w:r>
      <w:hyperlink r:id="rId26">
        <w:r>
          <w:rPr>
            <w:rStyle w:val="Hyperlink"/>
          </w:rPr>
          <w:t xml:space="preserve">[23]</w:t>
        </w:r>
      </w:hyperlink>
      <w:r>
        <w:t xml:space="preserve"> </w:t>
      </w:r>
      <w:hyperlink r:id="rId26">
        <w:r>
          <w:rPr>
            <w:rStyle w:val="Hyperlink"/>
          </w:rPr>
          <w:t xml:space="preserve">[26]</w:t>
        </w:r>
      </w:hyperlink>
      <w:r>
        <w:t xml:space="preserve"> </w:t>
      </w:r>
      <w:hyperlink r:id="rId26">
        <w:r>
          <w:rPr>
            <w:rStyle w:val="Hyperlink"/>
          </w:rPr>
          <w:t xml:space="preserve">[34]</w:t>
        </w:r>
      </w:hyperlink>
      <w:r>
        <w:t xml:space="preserve"> </w:t>
      </w:r>
      <w:hyperlink r:id="rId26">
        <w:r>
          <w:rPr>
            <w:rStyle w:val="Hyperlink"/>
          </w:rPr>
          <w:t xml:space="preserve">[36]</w:t>
        </w:r>
      </w:hyperlink>
      <w:r>
        <w:t xml:space="preserve"> </w:t>
      </w:r>
      <w:r>
        <w:t xml:space="preserve">https://developers.circle.com/cctp</w:t>
      </w:r>
    </w:p>
    <w:p>
      <w:pPr>
        <w:pStyle w:val="BodyText"/>
      </w:pPr>
      <w:hyperlink r:id="rId26">
        <w:r>
          <w:rPr>
            <w:rStyle w:val="Hyperlink"/>
          </w:rPr>
          <w:t xml:space="preserve">https://developers.circle.com/cctp</w:t>
        </w:r>
      </w:hyperlink>
    </w:p>
    <w:p>
      <w:pPr>
        <w:pStyle w:val="BodyText"/>
      </w:pPr>
      <w:hyperlink r:id="rId27">
        <w:r>
          <w:rPr>
            <w:rStyle w:val="Hyperlink"/>
          </w:rPr>
          <w:t xml:space="preserve">[9]</w:t>
        </w:r>
      </w:hyperlink>
      <w:r>
        <w:t xml:space="preserve"> </w:t>
      </w:r>
      <w:hyperlink r:id="rId27">
        <w:r>
          <w:rPr>
            <w:rStyle w:val="Hyperlink"/>
          </w:rPr>
          <w:t xml:space="preserve">[17]</w:t>
        </w:r>
      </w:hyperlink>
      <w:r>
        <w:t xml:space="preserve"> </w:t>
      </w:r>
      <w:r>
        <w:t xml:space="preserve">https://www.worldbank.org/ext/en/topic/competitiveness/small-and-medium-enterprises-smes-finance</w:t>
      </w:r>
    </w:p>
    <w:p>
      <w:pPr>
        <w:pStyle w:val="BodyText"/>
      </w:pPr>
      <w:hyperlink r:id="rId27">
        <w:r>
          <w:rPr>
            <w:rStyle w:val="Hyperlink"/>
          </w:rPr>
          <w:t xml:space="preserve">https://www.worldbank.org/ext/en/topic/competitiveness/small-and-medium-enterprises-smes-finance</w:t>
        </w:r>
      </w:hyperlink>
    </w:p>
    <w:p>
      <w:pPr>
        <w:pStyle w:val="BodyText"/>
      </w:pPr>
      <w:hyperlink r:id="rId28">
        <w:r>
          <w:rPr>
            <w:rStyle w:val="Hyperlink"/>
          </w:rPr>
          <w:t xml:space="preserve">[10]</w:t>
        </w:r>
      </w:hyperlink>
      <w:r>
        <w:t xml:space="preserve"> </w:t>
      </w:r>
      <w:hyperlink r:id="rId28">
        <w:r>
          <w:rPr>
            <w:rStyle w:val="Hyperlink"/>
          </w:rPr>
          <w:t xml:space="preserve">[12]</w:t>
        </w:r>
      </w:hyperlink>
      <w:r>
        <w:t xml:space="preserve"> </w:t>
      </w:r>
      <w:hyperlink r:id="rId28">
        <w:r>
          <w:rPr>
            <w:rStyle w:val="Hyperlink"/>
          </w:rPr>
          <w:t xml:space="preserve">[19]</w:t>
        </w:r>
      </w:hyperlink>
      <w:r>
        <w:t xml:space="preserve"> </w:t>
      </w:r>
      <w:hyperlink r:id="rId28">
        <w:r>
          <w:rPr>
            <w:rStyle w:val="Hyperlink"/>
          </w:rPr>
          <w:t xml:space="preserve">[33]</w:t>
        </w:r>
      </w:hyperlink>
      <w:r>
        <w:t xml:space="preserve"> </w:t>
      </w:r>
      <w:hyperlink r:id="rId28">
        <w:r>
          <w:rPr>
            <w:rStyle w:val="Hyperlink"/>
          </w:rPr>
          <w:t xml:space="preserve">[37]</w:t>
        </w:r>
      </w:hyperlink>
      <w:r>
        <w:t xml:space="preserve"> </w:t>
      </w:r>
      <w:hyperlink r:id="rId28">
        <w:r>
          <w:rPr>
            <w:rStyle w:val="Hyperlink"/>
          </w:rPr>
          <w:t xml:space="preserve">[44]</w:t>
        </w:r>
      </w:hyperlink>
      <w:r>
        <w:t xml:space="preserve"> </w:t>
      </w:r>
      <w:r>
        <w:t xml:space="preserve">https://www.wto.org/english/res_e/statis_e/world_trade_statistics_e.htm</w:t>
      </w:r>
    </w:p>
    <w:p>
      <w:pPr>
        <w:pStyle w:val="BodyText"/>
      </w:pPr>
      <w:hyperlink r:id="rId28">
        <w:r>
          <w:rPr>
            <w:rStyle w:val="Hyperlink"/>
          </w:rPr>
          <w:t xml:space="preserve">https://www.wto.org/english/res_e/statis_e/world_trade_statistics_e.htm</w:t>
        </w:r>
      </w:hyperlink>
    </w:p>
    <w:p>
      <w:pPr>
        <w:pStyle w:val="BodyText"/>
      </w:pPr>
      <w:hyperlink r:id="rId31">
        <w:r>
          <w:rPr>
            <w:rStyle w:val="Hyperlink"/>
          </w:rPr>
          <w:t xml:space="preserve">[16]</w:t>
        </w:r>
      </w:hyperlink>
      <w:r>
        <w:t xml:space="preserve"> </w:t>
      </w:r>
      <w:hyperlink r:id="rId31">
        <w:r>
          <w:rPr>
            <w:rStyle w:val="Hyperlink"/>
          </w:rPr>
          <w:t xml:space="preserve">[51]</w:t>
        </w:r>
      </w:hyperlink>
      <w:r>
        <w:t xml:space="preserve"> </w:t>
      </w:r>
      <w:r>
        <w:t xml:space="preserve">https://www.fsb.org/work-of-the-fsb/financial-innovation-and-structural-change/cross-border-payments/g20-targets-for-enhancing-cross-border-payments-2/</w:t>
      </w:r>
    </w:p>
    <w:p>
      <w:pPr>
        <w:pStyle w:val="BodyText"/>
      </w:pPr>
      <w:hyperlink r:id="rId31">
        <w:r>
          <w:rPr>
            <w:rStyle w:val="Hyperlink"/>
          </w:rPr>
          <w:t xml:space="preserve">https://www.fsb.org/work-of-the-fsb/financial-innovation-and-structural-change/cross-border-payments/g20-targets-for-enhancing-cross-border-payments-2/</w:t>
        </w:r>
      </w:hyperlink>
    </w:p>
    <w:p>
      <w:pPr>
        <w:pStyle w:val="BodyText"/>
      </w:pPr>
      <w:hyperlink r:id="rId32">
        <w:r>
          <w:rPr>
            <w:rStyle w:val="Hyperlink"/>
          </w:rPr>
          <w:t xml:space="preserve">[18]</w:t>
        </w:r>
      </w:hyperlink>
      <w:r>
        <w:t xml:space="preserve"> </w:t>
      </w:r>
      <w:hyperlink r:id="rId32">
        <w:r>
          <w:rPr>
            <w:rStyle w:val="Hyperlink"/>
          </w:rPr>
          <w:t xml:space="preserve">[39]</w:t>
        </w:r>
      </w:hyperlink>
      <w:r>
        <w:t xml:space="preserve"> </w:t>
      </w:r>
      <w:r>
        <w:t xml:space="preserve">https://www.oecd.org/en/publications/sustainable-bonds_26726c68-en.html</w:t>
      </w:r>
    </w:p>
    <w:p>
      <w:pPr>
        <w:pStyle w:val="BodyText"/>
      </w:pPr>
      <w:hyperlink r:id="rId32">
        <w:r>
          <w:rPr>
            <w:rStyle w:val="Hyperlink"/>
          </w:rPr>
          <w:t xml:space="preserve">https://www.oecd.org/en/publications/sustainable-bonds_26726c68-en.html</w:t>
        </w:r>
      </w:hyperlink>
    </w:p>
    <w:p>
      <w:pPr>
        <w:pStyle w:val="BodyText"/>
      </w:pPr>
      <w:hyperlink r:id="rId35">
        <w:r>
          <w:rPr>
            <w:rStyle w:val="Hyperlink"/>
          </w:rPr>
          <w:t xml:space="preserve">[21]</w:t>
        </w:r>
      </w:hyperlink>
      <w:r>
        <w:t xml:space="preserve"> </w:t>
      </w:r>
      <w:hyperlink r:id="rId35">
        <w:r>
          <w:rPr>
            <w:rStyle w:val="Hyperlink"/>
          </w:rPr>
          <w:t xml:space="preserve">[28]</w:t>
        </w:r>
      </w:hyperlink>
      <w:r>
        <w:t xml:space="preserve"> </w:t>
      </w:r>
      <w:r>
        <w:t xml:space="preserve">https://docs.openzeppelin.com/contracts/5.x/access-control</w:t>
      </w:r>
    </w:p>
    <w:p>
      <w:pPr>
        <w:pStyle w:val="BodyText"/>
      </w:pPr>
      <w:hyperlink r:id="rId35">
        <w:r>
          <w:rPr>
            <w:rStyle w:val="Hyperlink"/>
          </w:rPr>
          <w:t xml:space="preserve">https://docs.openzeppelin.com/contracts/5.x/access-control</w:t>
        </w:r>
      </w:hyperlink>
    </w:p>
    <w:p>
      <w:pPr>
        <w:pStyle w:val="BodyText"/>
      </w:pPr>
      <w:hyperlink r:id="rId36">
        <w:r>
          <w:rPr>
            <w:rStyle w:val="Hyperlink"/>
          </w:rPr>
          <w:t xml:space="preserve">[22]</w:t>
        </w:r>
      </w:hyperlink>
      <w:r>
        <w:t xml:space="preserve"> </w:t>
      </w:r>
      <w:r>
        <w:t xml:space="preserve">https://solana.com/docs/payments/send-payments/payment-with-memo</w:t>
      </w:r>
    </w:p>
    <w:p>
      <w:pPr>
        <w:pStyle w:val="BodyText"/>
      </w:pPr>
      <w:hyperlink r:id="rId36">
        <w:r>
          <w:rPr>
            <w:rStyle w:val="Hyperlink"/>
          </w:rPr>
          <w:t xml:space="preserve">https://solana.com/docs/payments/send-payments/payment-with-memo</w:t>
        </w:r>
      </w:hyperlink>
    </w:p>
    <w:p>
      <w:pPr>
        <w:pStyle w:val="BodyText"/>
      </w:pPr>
      <w:hyperlink r:id="rId42">
        <w:r>
          <w:rPr>
            <w:rStyle w:val="Hyperlink"/>
          </w:rPr>
          <w:t xml:space="preserve">[30]</w:t>
        </w:r>
      </w:hyperlink>
      <w:r>
        <w:t xml:space="preserve"> </w:t>
      </w:r>
      <w:hyperlink r:id="rId42">
        <w:r>
          <w:rPr>
            <w:rStyle w:val="Hyperlink"/>
          </w:rPr>
          <w:t xml:space="preserve">[31]</w:t>
        </w:r>
      </w:hyperlink>
      <w:r>
        <w:t xml:space="preserve"> </w:t>
      </w:r>
      <w:hyperlink r:id="rId42">
        <w:r>
          <w:rPr>
            <w:rStyle w:val="Hyperlink"/>
          </w:rPr>
          <w:t xml:space="preserve">[50]</w:t>
        </w:r>
      </w:hyperlink>
      <w:r>
        <w:t xml:space="preserve"> </w:t>
      </w:r>
      <w:r>
        <w:t xml:space="preserve">https://www.fatf-gafi.org/content/dam/fatf-gafi/recommendations/2025-Targeted-Upate-VA-VASPs.pdf.coredownload.pdf</w:t>
      </w:r>
    </w:p>
    <w:p>
      <w:pPr>
        <w:pStyle w:val="BodyText"/>
      </w:pPr>
      <w:hyperlink r:id="rId42">
        <w:r>
          <w:rPr>
            <w:rStyle w:val="Hyperlink"/>
          </w:rPr>
          <w:t xml:space="preserve">https://www.fatf-gafi.org/content/dam/fatf-gafi/recommendations/2025-Targeted-Upate-VA-VASPs.pdf.coredownload.pdf</w:t>
        </w:r>
      </w:hyperlink>
    </w:p>
    <w:p>
      <w:pPr>
        <w:pStyle w:val="BodyText"/>
      </w:pPr>
      <w:hyperlink r:id="rId43">
        <w:r>
          <w:rPr>
            <w:rStyle w:val="Hyperlink"/>
          </w:rPr>
          <w:t xml:space="preserve">[35]</w:t>
        </w:r>
      </w:hyperlink>
      <w:r>
        <w:t xml:space="preserve"> </w:t>
      </w:r>
      <w:hyperlink r:id="rId43">
        <w:r>
          <w:rPr>
            <w:rStyle w:val="Hyperlink"/>
          </w:rPr>
          <w:t xml:space="preserve">[40]</w:t>
        </w:r>
      </w:hyperlink>
      <w:r>
        <w:t xml:space="preserve"> </w:t>
      </w:r>
      <w:hyperlink r:id="rId43">
        <w:r>
          <w:rPr>
            <w:rStyle w:val="Hyperlink"/>
          </w:rPr>
          <w:t xml:space="preserve">[52]</w:t>
        </w:r>
      </w:hyperlink>
      <w:r>
        <w:t xml:space="preserve"> </w:t>
      </w:r>
      <w:r>
        <w:t xml:space="preserve">https://www.fincen.gov/system/files/2019-05/FinCEN%20Guidance%20CVC%20FINAL%20508.pdf</w:t>
      </w:r>
    </w:p>
    <w:p>
      <w:pPr>
        <w:pStyle w:val="BodyText"/>
      </w:pPr>
      <w:hyperlink r:id="rId43">
        <w:r>
          <w:rPr>
            <w:rStyle w:val="Hyperlink"/>
          </w:rPr>
          <w:t xml:space="preserve">https://www.fincen.gov/system/files/2019-05/FinCEN%20Guidance%20CVC%20FINAL%20508.pdf</w:t>
        </w:r>
      </w:hyperlink>
    </w:p>
    <w:p>
      <w:pPr>
        <w:pStyle w:val="BodyText"/>
      </w:pPr>
      <w:hyperlink r:id="rId44">
        <w:r>
          <w:rPr>
            <w:rStyle w:val="Hyperlink"/>
          </w:rPr>
          <w:t xml:space="preserve">[43]</w:t>
        </w:r>
      </w:hyperlink>
      <w:r>
        <w:t xml:space="preserve"> </w:t>
      </w:r>
      <w:r>
        <w:t xml:space="preserve">https://www.eba.europa.eu/regulation-and-policy/asset-referenced-and-e-money-tokens-mica</w:t>
      </w:r>
    </w:p>
    <w:p>
      <w:pPr>
        <w:pStyle w:val="BodyText"/>
      </w:pPr>
      <w:hyperlink r:id="rId44">
        <w:r>
          <w:rPr>
            <w:rStyle w:val="Hyperlink"/>
          </w:rPr>
          <w:t xml:space="preserve">https://www.eba.europa.eu/regulation-and-policy/asset-referenced-and-e-money-tokens-mica</w:t>
        </w:r>
      </w:hyperlink>
    </w:p>
    <w:p>
      <w:pPr>
        <w:pStyle w:val="BodyText"/>
      </w:pPr>
      <w:hyperlink r:id="rId45">
        <w:r>
          <w:rPr>
            <w:rStyle w:val="Hyperlink"/>
          </w:rPr>
          <w:t xml:space="preserve">[46]</w:t>
        </w:r>
      </w:hyperlink>
      <w:r>
        <w:t xml:space="preserve"> </w:t>
      </w:r>
      <w:r>
        <w:t xml:space="preserve">https://www.law.go.kr/LSW//lsLinkCommonInfo.do?ancYnChk=&amp;chrClsCd=010202&amp;lsJoLnkSeq=1013169527</w:t>
      </w:r>
    </w:p>
    <w:p>
      <w:pPr>
        <w:pStyle w:val="BodyText"/>
      </w:pPr>
      <w:hyperlink r:id="rId45">
        <w:r>
          <w:rPr>
            <w:rStyle w:val="Hyperlink"/>
          </w:rPr>
          <w:t xml:space="preserve">https://www.law.go.kr/LSW//lsLinkCommonInfo.do?ancYnChk=&amp;chrClsCd=010202&amp;lsJoLnkSeq=1013169527</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evelopers.circle.com/cctp" TargetMode="External" /><Relationship Type="http://schemas.openxmlformats.org/officeDocument/2006/relationships/hyperlink" Id="rId21" Target="https://developers.circle.com/stablecoins/what-is-usdc" TargetMode="External" /><Relationship Type="http://schemas.openxmlformats.org/officeDocument/2006/relationships/hyperlink" Id="rId23" Target="https://developers.circle.com/wallets" TargetMode="External" /><Relationship Type="http://schemas.openxmlformats.org/officeDocument/2006/relationships/hyperlink" Id="rId35" Target="https://docs.openzeppelin.com/contracts/5.x/access-control" TargetMode="External" /><Relationship Type="http://schemas.openxmlformats.org/officeDocument/2006/relationships/hyperlink" Id="rId24" Target="https://eur-lex.europa.eu/eli/reg/2016/679/oj/eng" TargetMode="External" /><Relationship Type="http://schemas.openxmlformats.org/officeDocument/2006/relationships/hyperlink" Id="rId36" Target="https://solana.com/docs/payments/send-payments/payment-with-memo" TargetMode="External" /><Relationship Type="http://schemas.openxmlformats.org/officeDocument/2006/relationships/hyperlink" Id="rId22" Target="https://www.circle.com/circle-mint" TargetMode="External" /><Relationship Type="http://schemas.openxmlformats.org/officeDocument/2006/relationships/hyperlink" Id="rId25" Target="https://www.circle.com/usdc" TargetMode="External" /><Relationship Type="http://schemas.openxmlformats.org/officeDocument/2006/relationships/hyperlink" Id="rId44" Target="https://www.eba.europa.eu/regulation-and-policy/asset-referenced-and-e-money-tokens-mica" TargetMode="External" /><Relationship Type="http://schemas.openxmlformats.org/officeDocument/2006/relationships/hyperlink" Id="rId42" Target="https://www.fatf-gafi.org/content/dam/fatf-gafi/recommendations/2025-Targeted-Upate-VA-VASPs.pdf.coredownload.pdf" TargetMode="External" /><Relationship Type="http://schemas.openxmlformats.org/officeDocument/2006/relationships/hyperlink" Id="rId43" Target="https://www.fincen.gov/system/files/2019-05/FinCEN%20Guidance%20CVC%20FINAL%20508.pdf" TargetMode="External" /><Relationship Type="http://schemas.openxmlformats.org/officeDocument/2006/relationships/hyperlink" Id="rId31" Target="https://www.fsb.org/work-of-the-fsb/financial-innovation-and-structural-change/cross-border-payments/g20-targets-for-enhancing-cross-border-payments-2/" TargetMode="External" /><Relationship Type="http://schemas.openxmlformats.org/officeDocument/2006/relationships/hyperlink" Id="rId45" Target="https://www.law.go.kr/LSW//lsLinkCommonInfo.do?ancYnChk=&amp;chrClsCd=010202&amp;lsJoLnkSeq=1013169527" TargetMode="External" /><Relationship Type="http://schemas.openxmlformats.org/officeDocument/2006/relationships/hyperlink" Id="rId32" Target="https://www.oecd.org/en/publications/sustainable-bonds_26726c68-en.html" TargetMode="External" /><Relationship Type="http://schemas.openxmlformats.org/officeDocument/2006/relationships/hyperlink" Id="rId27" Target="https://www.worldbank.org/ext/en/topic/competitiveness/small-and-medium-enterprises-smes-finance" TargetMode="External" /><Relationship Type="http://schemas.openxmlformats.org/officeDocument/2006/relationships/hyperlink" Id="rId28" Target="https://www.wto.org/english/res_e/statis_e/world_trade_statistics_e.htm" TargetMode="External" /></Relationships>
</file>

<file path=word/_rels/footnotes.xml.rels><?xml version="1.0" encoding="UTF-8"?><Relationships xmlns="http://schemas.openxmlformats.org/package/2006/relationships"><Relationship Type="http://schemas.openxmlformats.org/officeDocument/2006/relationships/hyperlink" Id="rId26" Target="https://developers.circle.com/cctp" TargetMode="External" /><Relationship Type="http://schemas.openxmlformats.org/officeDocument/2006/relationships/hyperlink" Id="rId21" Target="https://developers.circle.com/stablecoins/what-is-usdc" TargetMode="External" /><Relationship Type="http://schemas.openxmlformats.org/officeDocument/2006/relationships/hyperlink" Id="rId23" Target="https://developers.circle.com/wallets" TargetMode="External" /><Relationship Type="http://schemas.openxmlformats.org/officeDocument/2006/relationships/hyperlink" Id="rId35" Target="https://docs.openzeppelin.com/contracts/5.x/access-control" TargetMode="External" /><Relationship Type="http://schemas.openxmlformats.org/officeDocument/2006/relationships/hyperlink" Id="rId24" Target="https://eur-lex.europa.eu/eli/reg/2016/679/oj/eng" TargetMode="External" /><Relationship Type="http://schemas.openxmlformats.org/officeDocument/2006/relationships/hyperlink" Id="rId36" Target="https://solana.com/docs/payments/send-payments/payment-with-memo" TargetMode="External" /><Relationship Type="http://schemas.openxmlformats.org/officeDocument/2006/relationships/hyperlink" Id="rId22" Target="https://www.circle.com/circle-mint" TargetMode="External" /><Relationship Type="http://schemas.openxmlformats.org/officeDocument/2006/relationships/hyperlink" Id="rId25" Target="https://www.circle.com/usdc" TargetMode="External" /><Relationship Type="http://schemas.openxmlformats.org/officeDocument/2006/relationships/hyperlink" Id="rId44" Target="https://www.eba.europa.eu/regulation-and-policy/asset-referenced-and-e-money-tokens-mica" TargetMode="External" /><Relationship Type="http://schemas.openxmlformats.org/officeDocument/2006/relationships/hyperlink" Id="rId42" Target="https://www.fatf-gafi.org/content/dam/fatf-gafi/recommendations/2025-Targeted-Upate-VA-VASPs.pdf.coredownload.pdf" TargetMode="External" /><Relationship Type="http://schemas.openxmlformats.org/officeDocument/2006/relationships/hyperlink" Id="rId43" Target="https://www.fincen.gov/system/files/2019-05/FinCEN%20Guidance%20CVC%20FINAL%20508.pdf" TargetMode="External" /><Relationship Type="http://schemas.openxmlformats.org/officeDocument/2006/relationships/hyperlink" Id="rId31" Target="https://www.fsb.org/work-of-the-fsb/financial-innovation-and-structural-change/cross-border-payments/g20-targets-for-enhancing-cross-border-payments-2/" TargetMode="External" /><Relationship Type="http://schemas.openxmlformats.org/officeDocument/2006/relationships/hyperlink" Id="rId45" Target="https://www.law.go.kr/LSW//lsLinkCommonInfo.do?ancYnChk=&amp;chrClsCd=010202&amp;lsJoLnkSeq=1013169527" TargetMode="External" /><Relationship Type="http://schemas.openxmlformats.org/officeDocument/2006/relationships/hyperlink" Id="rId32" Target="https://www.oecd.org/en/publications/sustainable-bonds_26726c68-en.html" TargetMode="External" /><Relationship Type="http://schemas.openxmlformats.org/officeDocument/2006/relationships/hyperlink" Id="rId27" Target="https://www.worldbank.org/ext/en/topic/competitiveness/small-and-medium-enterprises-smes-finance" TargetMode="External" /><Relationship Type="http://schemas.openxmlformats.org/officeDocument/2006/relationships/hyperlink" Id="rId28" Target="https://www.wto.org/english/res_e/statis_e/world_trade_statistics_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2026-05-03T15:39:23Z</dcterms:created>
  <dcterms:modified xsi:type="dcterms:W3CDTF">2026-05-03T15:39:23Z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