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智慧档案管理平台建设项目招标文件</w:t>
      </w:r>
    </w:p>
    <w:p>
      <w:r>
        <w:t>一、项目概况</w:t>
      </w:r>
    </w:p>
    <w:p>
      <w:r>
        <w:t>采购人计划建设一套面向内网环境的智慧档案管理平台，覆盖文件收集、权限控制、审计留痕和数据备份。</w:t>
      </w:r>
    </w:p>
    <w:p>
      <w:r>
        <w:t>二、投标响应要求</w:t>
      </w:r>
    </w:p>
    <w:p>
      <w:r>
        <w:t>投标人应完全响应招标文件中的服务范围、验收标准、付款条件和保密要求，不得对实质性条款作出负偏离。</w:t>
      </w:r>
    </w:p>
    <w:p>
      <w:r>
        <w:t>项目实施过程中，中标人应配合采购人完成资料归档、阶段验收、最终验收和运维交接，并提供必要的培训服务。</w:t>
      </w:r>
    </w:p>
    <w:p>
      <w:r>
        <w:t>三、验收要求</w:t>
      </w:r>
    </w:p>
    <w:p>
      <w:r>
        <w:t>系统应完成不少于两轮测试，提交部署手册、培训记录、问题清单和最终验收报告。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