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晨星信息技术有限公司投标文件</w:t>
      </w:r>
    </w:p>
    <w:p>
      <w:r>
        <w:t>目录</w:t>
      </w:r>
    </w:p>
    <w:p>
      <w:r>
        <w:t>一、项目理解</w:t>
      </w:r>
    </w:p>
    <w:p>
      <w:r>
        <w:t>投标人应完全响应招标文件中的服务范围、验收标准、付款条件和保密要求，不得对实质性条款作出负偏离。</w:t>
      </w:r>
    </w:p>
    <w:p>
      <w:r>
        <w:t>本项目采用统一身份认证、安全审计和日志留存方案，确保业务系统在内网环境中稳定运行并形成可追溯记录；系统上线后将建立每日巡检、异常告警和月度运行分析机制。</w:t>
      </w:r>
    </w:p>
    <w:p>
      <w:r>
        <w:t>项目经理由华远智联科技有限公司推荐的高级顾问担任，负责统筹需求澄清、方案评审和交付验收。</w:t>
      </w:r>
    </w:p>
    <w:p>
      <w:r>
        <w:t>晨星团队将采用分阶段实施策略，先完成基础环境核查，再推进业务系统适配和用户培训。</w:t>
      </w:r>
    </w:p>
    <w:p>
      <w:r>
        <w:t>项目实施过程中，中标人应配合采购人完成资料归档、阶段验收、最终验收和运维交接，并提供必要的培训服务。</w:t>
      </w:r>
    </w:p>
    <w:p>
      <w:r>
        <w:t>二、实施计划</w:t>
      </w:r>
    </w:p>
    <w:p>
      <w:r>
        <w:t>本公司承诺在合同签订后十五个工作日内提交详细实施计划。</w:t>
      </w:r>
    </w:p>
    <w:p>
      <w:r>
        <w:drawing>
          <wp:inline xmlns:a="http://schemas.openxmlformats.org/drawingml/2006/main" xmlns:pic="http://schemas.openxmlformats.org/drawingml/2006/picture">
            <wp:extent cx="1828800" cy="844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d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440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