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北辰软件工程有限公司投标文件</w:t>
      </w:r>
    </w:p>
    <w:p>
      <w:r>
        <w:t>目录</w:t>
      </w:r>
    </w:p>
    <w:p>
      <w:r>
        <w:t>一、总体方案</w:t>
      </w:r>
    </w:p>
    <w:p>
      <w:r>
        <w:t>投标人应完全响应招标文件中的服务范围、验收标准、付款条件和保密要求，不得对实质性条款作出负偏离。</w:t>
      </w:r>
    </w:p>
    <w:p>
      <w:r>
        <w:t>为提升投标响应效率，本方案将建设统一的文件比对、风险提示和历史报告管理能力，支持在断网环境中完成批量文档核验并输出可追溯结果。</w:t>
      </w:r>
    </w:p>
    <w:p>
      <w:r>
        <w:t>华远智联科技有限公司将作为生态合作伙伴提供兼容性测试建议，并参与关键节点评审。</w:t>
      </w:r>
    </w:p>
    <w:p>
      <w:r>
        <w:t>北辰软件工程有限公司强调稳定性验证、数据迁移演练和用户权限矩阵梳理。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二、质量保障</w:t>
      </w:r>
    </w:p>
    <w:p>
      <w:r>
        <w:t>项目组将设置质量负责人，按周跟踪问题关闭率和交付物完整度。</w:t>
      </w:r>
    </w:p>
    <w:p>
      <w:r>
        <w:drawing>
          <wp:inline xmlns:a="http://schemas.openxmlformats.org/drawingml/2006/main" xmlns:pic="http://schemas.openxmlformats.org/drawingml/2006/picture">
            <wp:extent cx="1828800" cy="84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qu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440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