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vAlign w:val="top"/>
          </w:tcPr>
          <w:p>
            <w:r>
              <w:rPr>
                <w:rFonts w:hint="eastAsia"/>
              </w:rPr>
              <w:t>可靠数据传输协议</w:t>
            </w:r>
            <w:r>
              <w:rPr>
                <w:b/>
                <w:bCs/>
              </w:rPr>
              <w:t>-</w:t>
            </w:r>
            <w:r>
              <w:rPr>
                <w:rFonts w:hint="eastAsia"/>
              </w:rPr>
              <w:t>停等协议的设计与实现&amp;GBN协议的设计与实现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陈啸</w:t>
            </w:r>
          </w:p>
        </w:tc>
        <w:tc>
          <w:tcPr>
            <w:tcW w:w="1217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vAlign w:val="top"/>
          </w:tcPr>
          <w:p>
            <w:r>
              <w:rPr>
                <w:rFonts w:hint="eastAsia"/>
              </w:rPr>
              <w:t>计算机学院</w:t>
            </w:r>
            <w:r>
              <w:rPr>
                <w:rFonts w:hint="eastAsia"/>
                <w:lang w:val="en-US" w:eastAsia="zh-CN"/>
              </w:rPr>
              <w:t>自然语言处理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1803104</w:t>
            </w:r>
          </w:p>
        </w:tc>
        <w:tc>
          <w:tcPr>
            <w:tcW w:w="1217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vAlign w:val="top"/>
          </w:tcPr>
          <w:p>
            <w:r>
              <w:rPr>
                <w:rFonts w:hint="eastAsia"/>
                <w:lang w:val="en-US" w:eastAsia="zh-CN"/>
              </w:rPr>
              <w:t>1180300121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聂兰顺</w:t>
            </w:r>
          </w:p>
        </w:tc>
        <w:tc>
          <w:tcPr>
            <w:tcW w:w="1217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vAlign w:val="top"/>
          </w:tcPr>
          <w:p>
            <w:r>
              <w:rPr>
                <w:rFonts w:hint="eastAsia"/>
                <w:lang w:val="en-US" w:eastAsia="zh-CN"/>
              </w:rPr>
              <w:t>聂兰顺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vAlign w:val="top"/>
          </w:tcPr>
          <w:p>
            <w:r>
              <w:rPr>
                <w:rFonts w:hint="eastAsia"/>
              </w:rPr>
              <w:t>格物2</w:t>
            </w:r>
            <w:r>
              <w:rPr>
                <w:rFonts w:hint="eastAsia"/>
                <w:lang w:val="en-US" w:eastAsia="zh-CN"/>
              </w:rPr>
              <w:t>07</w:t>
            </w:r>
          </w:p>
        </w:tc>
        <w:tc>
          <w:tcPr>
            <w:tcW w:w="1217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vAlign w:val="top"/>
          </w:tcPr>
          <w:p>
            <w:r>
              <w:rPr>
                <w:rFonts w:hint="eastAsia"/>
              </w:rPr>
              <w:t>2020年11月7日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  <w:vAlign w:val="top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vAlign w:val="top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  <w:vAlign w:val="top"/>
          </w:tcPr>
          <w:p/>
        </w:tc>
        <w:tc>
          <w:tcPr>
            <w:tcW w:w="1217" w:type="dxa"/>
            <w:vMerge w:val="restart"/>
            <w:vAlign w:val="top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  <w:vAlign w:val="top"/>
          </w:tcPr>
          <w:p/>
        </w:tc>
        <w:tc>
          <w:tcPr>
            <w:tcW w:w="1134" w:type="dxa"/>
            <w:vMerge w:val="restart"/>
            <w:vAlign w:val="top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vAlign w:val="top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  <w:vAlign w:val="top"/>
          </w:tcPr>
          <w:p/>
        </w:tc>
        <w:tc>
          <w:tcPr>
            <w:tcW w:w="1217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  <w:vAlign w:val="top"/>
          </w:tcPr>
          <w:p/>
        </w:tc>
        <w:tc>
          <w:tcPr>
            <w:tcW w:w="1134" w:type="dxa"/>
            <w:vMerge w:val="continue"/>
            <w:vAlign w:val="top"/>
          </w:tcPr>
          <w:p/>
        </w:tc>
        <w:tc>
          <w:tcPr>
            <w:tcW w:w="709" w:type="dxa"/>
            <w:vMerge w:val="continue"/>
            <w:vAlign w:val="top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  <w:vAlign w:val="top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  <w:vAlign w:val="top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r>
              <w:rPr>
                <w:rFonts w:hint="eastAsia"/>
              </w:rPr>
              <w:t>理解滑动窗口协议的基本原理；掌握GBN的工作原理；掌握基于UDP设计并实现一个GBN协议的过程与技术。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基于UDP设计一个简单的GBN协议，实现单项可靠数据传输(服务器到客户的数据传输)</w:t>
            </w:r>
          </w:p>
          <w:p>
            <w:pPr>
              <w:pStyle w:val="9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模拟引入数据包的丢失，验证所设计协议的有效性</w:t>
            </w:r>
          </w:p>
          <w:p>
            <w:pPr>
              <w:pStyle w:val="9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改进所设计的GBN协议，支持双向数据传输</w:t>
            </w:r>
          </w:p>
          <w:p>
            <w:pPr>
              <w:pStyle w:val="9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  <w:sz w:val="21"/>
                <w:szCs w:val="21"/>
              </w:rPr>
              <w:t>将所设计的GBN协议改进为SR协议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pStyle w:val="9"/>
              <w:ind w:firstLine="0" w:firstLineChars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1</w:t>
            </w:r>
            <w:r>
              <w:rPr>
                <w:b/>
                <w:sz w:val="21"/>
                <w:szCs w:val="21"/>
              </w:rPr>
              <w:t xml:space="preserve">. </w:t>
            </w:r>
            <w:r>
              <w:rPr>
                <w:rFonts w:hint="eastAsia"/>
                <w:b/>
                <w:sz w:val="21"/>
                <w:szCs w:val="21"/>
              </w:rPr>
              <w:t>GBN协议数据分组格式</w:t>
            </w:r>
          </w:p>
          <w:tbl>
            <w:tblPr>
              <w:tblStyle w:val="5"/>
              <w:tblW w:w="0" w:type="auto"/>
              <w:tblInd w:w="1576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60"/>
              <w:gridCol w:w="850"/>
              <w:gridCol w:w="70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60" w:type="dxa"/>
                </w:tcPr>
                <w:p>
                  <w:pPr>
                    <w:pStyle w:val="9"/>
                    <w:ind w:firstLine="0" w:firstLineChars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数据包num</w:t>
                  </w:r>
                </w:p>
              </w:tc>
              <w:tc>
                <w:tcPr>
                  <w:tcW w:w="850" w:type="dxa"/>
                </w:tcPr>
                <w:p>
                  <w:pPr>
                    <w:pStyle w:val="9"/>
                    <w:ind w:firstLine="0" w:firstLineChars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空格</w:t>
                  </w:r>
                </w:p>
              </w:tc>
              <w:tc>
                <w:tcPr>
                  <w:tcW w:w="709" w:type="dxa"/>
                </w:tcPr>
                <w:p>
                  <w:pPr>
                    <w:pStyle w:val="9"/>
                    <w:ind w:firstLine="0" w:firstLineChars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data</w:t>
                  </w:r>
                </w:p>
              </w:tc>
            </w:tr>
          </w:tbl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例如 数据段为2</w:t>
            </w:r>
            <w:r>
              <w:rPr>
                <w:sz w:val="21"/>
                <w:szCs w:val="21"/>
              </w:rPr>
              <w:t>56</w:t>
            </w:r>
            <w:r>
              <w:rPr>
                <w:rFonts w:hint="eastAsia"/>
                <w:sz w:val="21"/>
                <w:szCs w:val="21"/>
              </w:rPr>
              <w:t>，num为0，则整个数据包为“0</w:t>
            </w:r>
            <w:r>
              <w:rPr>
                <w:sz w:val="21"/>
                <w:szCs w:val="21"/>
              </w:rPr>
              <w:t xml:space="preserve"> 256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>
            <w:pPr>
              <w:pStyle w:val="9"/>
              <w:ind w:firstLine="0" w:firstLineChars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2</w:t>
            </w:r>
            <w:r>
              <w:rPr>
                <w:b/>
                <w:sz w:val="21"/>
                <w:szCs w:val="21"/>
              </w:rPr>
              <w:t xml:space="preserve">. </w:t>
            </w:r>
            <w:r>
              <w:rPr>
                <w:rFonts w:hint="eastAsia"/>
                <w:b/>
                <w:sz w:val="21"/>
                <w:szCs w:val="21"/>
              </w:rPr>
              <w:t>确认分组格式</w:t>
            </w:r>
          </w:p>
          <w:tbl>
            <w:tblPr>
              <w:tblStyle w:val="5"/>
              <w:tblW w:w="0" w:type="auto"/>
              <w:tblInd w:w="1576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60"/>
              <w:gridCol w:w="850"/>
              <w:gridCol w:w="70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60" w:type="dxa"/>
                </w:tcPr>
                <w:p>
                  <w:pPr>
                    <w:pStyle w:val="9"/>
                    <w:ind w:firstLine="0" w:firstLineChars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ACK</w:t>
                  </w:r>
                </w:p>
              </w:tc>
              <w:tc>
                <w:tcPr>
                  <w:tcW w:w="850" w:type="dxa"/>
                </w:tcPr>
                <w:p>
                  <w:pPr>
                    <w:pStyle w:val="9"/>
                    <w:ind w:firstLine="0" w:firstLineChars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空格</w:t>
                  </w:r>
                </w:p>
              </w:tc>
              <w:tc>
                <w:tcPr>
                  <w:tcW w:w="709" w:type="dxa"/>
                </w:tcPr>
                <w:p>
                  <w:pPr>
                    <w:pStyle w:val="9"/>
                    <w:ind w:firstLine="0" w:firstLineChars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num</w:t>
                  </w:r>
                </w:p>
              </w:tc>
            </w:tr>
          </w:tbl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例如，ACK确认报文确认的为数据包0，则ack包表现为“ACK</w:t>
            </w:r>
            <w:r>
              <w:rPr>
                <w:sz w:val="21"/>
                <w:szCs w:val="21"/>
              </w:rPr>
              <w:t xml:space="preserve"> 0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>
            <w:pPr>
              <w:pStyle w:val="9"/>
              <w:ind w:firstLine="0" w:firstLineChars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  <w:r>
              <w:rPr>
                <w:b/>
                <w:sz w:val="21"/>
                <w:szCs w:val="21"/>
              </w:rPr>
              <w:t xml:space="preserve">. </w:t>
            </w:r>
            <w:r>
              <w:rPr>
                <w:rFonts w:hint="eastAsia"/>
                <w:b/>
                <w:sz w:val="21"/>
                <w:szCs w:val="21"/>
              </w:rPr>
              <w:t>协议两端程序流程图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GBN协议接收端</w:t>
            </w:r>
          </w:p>
          <w:p>
            <w:pPr>
              <w:pStyle w:val="9"/>
              <w:ind w:firstLine="0" w:firstLineChar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inline distT="0" distB="0" distL="0" distR="0">
                  <wp:extent cx="3656965" cy="43084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183" cy="432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GBN协议发送端</w:t>
            </w:r>
          </w:p>
          <w:p>
            <w:pPr>
              <w:pStyle w:val="9"/>
              <w:ind w:firstLine="0" w:firstLineChar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inline distT="0" distB="0" distL="0" distR="0">
                  <wp:extent cx="4806950" cy="672338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188" cy="674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4. 数据分组丢失验证模拟方法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在实验中模拟数据包丢失的方法，采取实验报告中的建议，对于接收端，接收到的数据帧，以一定的概率发送ACK报文(在实验中使用的概率为50%)，剩余的情况接收端不发送ACK即表现为ACK报文丢失。</w:t>
            </w:r>
          </w:p>
          <w:p>
            <w:pPr>
              <w:pStyle w:val="9"/>
              <w:ind w:firstLine="0" w:firstLineChars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5. 程序中实现的主要类(或函数)及其主要作用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在实验中主要类有</w:t>
            </w:r>
            <w:r>
              <w:rPr>
                <w:rFonts w:hint="eastAsia"/>
                <w:b/>
                <w:sz w:val="21"/>
                <w:szCs w:val="21"/>
              </w:rPr>
              <w:t>4种</w:t>
            </w:r>
            <w:r>
              <w:rPr>
                <w:rFonts w:hint="eastAsia"/>
                <w:sz w:val="21"/>
                <w:szCs w:val="21"/>
              </w:rPr>
              <w:t>，分为GBN协议的客户端、服务器端和SR协议的客户端、服务器端。其中</w:t>
            </w:r>
            <w:r>
              <w:rPr>
                <w:rFonts w:hint="eastAsia"/>
                <w:b/>
                <w:sz w:val="21"/>
                <w:szCs w:val="21"/>
              </w:rPr>
              <w:t>由于GBN协议和SR协议都实现了全双工通信，所以客户端和服务器端都可以互相向对方发送数据，两边的实现是对称的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因此以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GBNClient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SRClient</w:t>
            </w:r>
            <w:r>
              <w:rPr>
                <w:rFonts w:hint="eastAsia"/>
                <w:sz w:val="21"/>
                <w:szCs w:val="21"/>
              </w:rPr>
              <w:t xml:space="preserve">为例进行说明。 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>GBNClient</w:t>
            </w:r>
            <w:r>
              <w:rPr>
                <w:rFonts w:hint="eastAsia"/>
                <w:sz w:val="21"/>
                <w:szCs w:val="21"/>
              </w:rPr>
              <w:t>为GBN协议中的客户端实现，其中有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__send()</w:t>
            </w:r>
            <w:r>
              <w:rPr>
                <w:rFonts w:hint="eastAsia"/>
                <w:sz w:val="21"/>
                <w:szCs w:val="21"/>
              </w:rPr>
              <w:t>函数作为发送方时的主要功能，即从可用窗口中发送数据，以及接收并处理来自接收方发回的ACK报文。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__receive()</w:t>
            </w:r>
            <w:r>
              <w:rPr>
                <w:rFonts w:hint="eastAsia"/>
                <w:sz w:val="21"/>
                <w:szCs w:val="21"/>
              </w:rPr>
              <w:t>函数主要的功能是作为接收方时，接收数据包，并以一定的概率回复ACK报文，在收到冗余ACK报文的时候丢弃回复带有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next_expected_num</w:t>
            </w:r>
            <w:r>
              <w:rPr>
                <w:rFonts w:hint="eastAsia"/>
                <w:sz w:val="21"/>
                <w:szCs w:val="21"/>
              </w:rPr>
              <w:t>的ACK报文。此外还有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__receive_random_throw()</w:t>
            </w:r>
            <w:r>
              <w:rPr>
                <w:rFonts w:hint="eastAsia"/>
                <w:sz w:val="21"/>
                <w:szCs w:val="21"/>
              </w:rPr>
              <w:t>函数为模拟丢包的接收函数。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>SRClient</w:t>
            </w:r>
            <w:r>
              <w:rPr>
                <w:rFonts w:hint="eastAsia"/>
                <w:sz w:val="21"/>
                <w:szCs w:val="21"/>
              </w:rPr>
              <w:t>的实现与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GBNClient</w:t>
            </w:r>
            <w:r>
              <w:rPr>
                <w:rFonts w:hint="eastAsia"/>
                <w:sz w:val="21"/>
                <w:szCs w:val="21"/>
              </w:rPr>
              <w:t>的实现类似，主要的区别在SR协议对于每个数据包是分别确认的，因此，对于每个数据包均有单独的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Timer</w:t>
            </w:r>
            <w:r>
              <w:rPr>
                <w:rFonts w:hint="eastAsia"/>
                <w:sz w:val="21"/>
                <w:szCs w:val="21"/>
              </w:rPr>
              <w:t>用于计算是否超时，采取单独确认的机制，在接收端的增加了接收窗口，对于乱序到达的数据包进行缓存，而不是仅期待唯一分组的到达。具体实现如下：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协议的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send</w:t>
            </w:r>
            <w:r>
              <w:rPr>
                <w:rFonts w:hint="eastAsia"/>
                <w:sz w:val="21"/>
                <w:szCs w:val="21"/>
              </w:rPr>
              <w:t>函数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5274310" cy="425069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在前面的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While</w:t>
            </w:r>
            <w:r>
              <w:rPr>
                <w:rFonts w:hint="eastAsia"/>
                <w:sz w:val="21"/>
                <w:szCs w:val="21"/>
              </w:rPr>
              <w:t>循环中，主要是将窗口中可用的序号全部发送出去，有一个特殊处理就是在处理所有的序列号使用完毕的情况，采取mod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n除法，在序列号使用完的情况下，可以重新从头开始发送。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另外，在下半部分主要在处理接收ACK的情况，此处采用的非阻塞的方式，利用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select</w:t>
            </w:r>
            <w:r>
              <w:rPr>
                <w:rFonts w:hint="eastAsia"/>
                <w:sz w:val="21"/>
                <w:szCs w:val="21"/>
              </w:rPr>
              <w:t>包中的select函数，如果无法收到信息，那么就将计时器+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，并且当计时器超时的时候，将所有未确认的数据包全部重发；否则，读取ack信息，更新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base</w:t>
            </w:r>
            <w:r>
              <w:rPr>
                <w:rFonts w:hint="eastAsia"/>
                <w:sz w:val="21"/>
                <w:szCs w:val="21"/>
              </w:rPr>
              <w:t>信息。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receive</w:t>
            </w:r>
            <w:r>
              <w:rPr>
                <w:rFonts w:hint="eastAsia"/>
                <w:sz w:val="21"/>
                <w:szCs w:val="21"/>
              </w:rPr>
              <w:t>函数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inline distT="0" distB="0" distL="0" distR="0">
                  <wp:extent cx="5274310" cy="2874010"/>
                  <wp:effectExtent l="0" t="0" r="254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同样是利用非阻塞的方式读取，但是在回复ACK的时候，利用随机函数，以5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%的概率进行回复，剩余的5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%的概率模拟丢包，不发送ack确认报文；另外对于乱序到达的数据包，没有缓存，直接丢弃并回复带有当前期待收到的数据包的序号的ack报文（确定此种ack报文不会丢失）。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协议中的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Send</w:t>
            </w:r>
            <w:r>
              <w:rPr>
                <w:rFonts w:hint="eastAsia"/>
                <w:sz w:val="21"/>
                <w:szCs w:val="21"/>
              </w:rPr>
              <w:t>函数，主要增加的是一个ack确认数组，在已发送还未接收的窗口中的数据包置为1，已确认接收的数据包置为0；另外对于每一个数据包增加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timer</w:t>
            </w:r>
            <w:r>
              <w:rPr>
                <w:rFonts w:hint="eastAsia"/>
                <w:sz w:val="21"/>
                <w:szCs w:val="21"/>
              </w:rPr>
              <w:t>，在接收到对应的ack报文时，会将其置为0，否则，则将所有未确认的分组对应的计时器全部+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；receive函数，增加了接收窗口，对于在接收窗口内的数据包正确接收，在前一个接收窗口内的数据包(</w:t>
            </w:r>
            <w:r>
              <w:rPr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receive_base – N, receive_base-1</w:t>
            </w:r>
            <w:r>
              <w:rPr>
                <w:sz w:val="21"/>
                <w:szCs w:val="21"/>
              </w:rPr>
              <w:t>])</w:t>
            </w:r>
            <w:r>
              <w:rPr>
                <w:rFonts w:hint="eastAsia"/>
                <w:sz w:val="21"/>
                <w:szCs w:val="21"/>
              </w:rPr>
              <w:t>回复ack，其余数据全部忽略即可。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hint="eastAsia" w:ascii="宋体" w:hAnsi="宋体" w:cs="新宋体"/>
                <w:b/>
                <w:color w:val="000000"/>
                <w:kern w:val="0"/>
                <w:sz w:val="21"/>
                <w:szCs w:val="19"/>
              </w:rPr>
              <w:t>对于GBN协议全双工通信的测试</w:t>
            </w:r>
          </w:p>
          <w:p>
            <w:pPr>
              <w:pStyle w:val="9"/>
              <w:ind w:firstLine="0" w:firstLineChars="0"/>
              <w:rPr>
                <w:rFonts w:hint="eastAsia"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hint="eastAsia" w:ascii="宋体" w:hAnsi="宋体" w:cs="新宋体"/>
                <w:b/>
                <w:color w:val="000000"/>
                <w:kern w:val="0"/>
                <w:sz w:val="21"/>
                <w:szCs w:val="19"/>
              </w:rPr>
              <w:t>源文件见</w:t>
            </w:r>
            <w:r>
              <w:rPr>
                <w:rFonts w:ascii="Consolas" w:hAnsi="Consolas" w:cs="新宋体"/>
                <w:b/>
                <w:color w:val="C00000"/>
                <w:kern w:val="0"/>
                <w:sz w:val="21"/>
                <w:szCs w:val="19"/>
              </w:rPr>
              <w:t>gbn_client.log</w:t>
            </w:r>
            <w:r>
              <w:rPr>
                <w:rFonts w:hint="eastAsia" w:ascii="宋体" w:hAnsi="宋体" w:cs="新宋体"/>
                <w:b/>
                <w:color w:val="000000"/>
                <w:kern w:val="0"/>
                <w:sz w:val="21"/>
                <w:szCs w:val="19"/>
              </w:rPr>
              <w:t>和</w:t>
            </w:r>
            <w:r>
              <w:rPr>
                <w:rFonts w:ascii="Consolas" w:hAnsi="Consolas" w:cs="新宋体"/>
                <w:b/>
                <w:color w:val="C00000"/>
                <w:kern w:val="0"/>
                <w:sz w:val="21"/>
                <w:szCs w:val="19"/>
              </w:rPr>
              <w:t>gbn_server.log</w:t>
            </w:r>
          </w:p>
          <w:p>
            <w:pPr>
              <w:pStyle w:val="9"/>
              <w:ind w:firstLine="0" w:firstLineChars="0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>
              <w:drawing>
                <wp:inline distT="0" distB="0" distL="0" distR="0">
                  <wp:extent cx="5274310" cy="297370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7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 w:ascii="宋体" w:hAnsi="宋体" w:cs="新宋体"/>
                <w:color w:val="000000"/>
                <w:kern w:val="0"/>
                <w:sz w:val="21"/>
                <w:szCs w:val="19"/>
              </w:rPr>
            </w:pPr>
          </w:p>
          <w:p>
            <w:pPr>
              <w:pStyle w:val="9"/>
              <w:ind w:firstLine="0" w:firstLineChars="0"/>
              <w:rPr>
                <w:rFonts w:ascii="宋体" w:hAnsi="宋体" w:cs="新宋体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hint="eastAsia" w:ascii="宋体" w:hAnsi="宋体" w:cs="新宋体"/>
                <w:b/>
                <w:color w:val="000000"/>
                <w:kern w:val="0"/>
                <w:sz w:val="21"/>
                <w:szCs w:val="19"/>
              </w:rPr>
              <w:t>对于SR协议全双工通信的测试</w:t>
            </w:r>
          </w:p>
          <w:p>
            <w:pPr>
              <w:pStyle w:val="9"/>
              <w:ind w:firstLine="0" w:firstLineChars="0"/>
              <w:rPr>
                <w:rFonts w:hint="eastAsia" w:ascii="宋体" w:hAnsi="宋体"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hint="eastAsia" w:ascii="宋体" w:hAnsi="宋体" w:cs="新宋体"/>
                <w:color w:val="000000"/>
                <w:kern w:val="0"/>
                <w:sz w:val="21"/>
                <w:szCs w:val="19"/>
              </w:rPr>
              <w:t>源文件见</w:t>
            </w:r>
            <w:r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sr_client.log</w:t>
            </w:r>
            <w:r>
              <w:rPr>
                <w:rFonts w:hint="eastAsia" w:ascii="宋体" w:hAnsi="宋体" w:cs="新宋体"/>
                <w:color w:val="000000"/>
                <w:kern w:val="0"/>
                <w:sz w:val="21"/>
                <w:szCs w:val="19"/>
              </w:rPr>
              <w:t>和</w:t>
            </w:r>
            <w:r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sr_server.log</w:t>
            </w:r>
          </w:p>
          <w:p>
            <w:pPr>
              <w:pStyle w:val="9"/>
              <w:ind w:firstLine="0" w:firstLineChars="0"/>
              <w:rPr>
                <w:rFonts w:hint="eastAsia" w:ascii="宋体" w:hAnsi="宋体" w:cs="新宋体"/>
                <w:color w:val="000000"/>
                <w:kern w:val="0"/>
                <w:sz w:val="19"/>
                <w:szCs w:val="19"/>
              </w:rPr>
            </w:pPr>
            <w:r>
              <w:drawing>
                <wp:inline distT="0" distB="0" distL="0" distR="0">
                  <wp:extent cx="5274310" cy="2829560"/>
                  <wp:effectExtent l="0" t="0" r="254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停等协议：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数据分组格式：序号 数据，中间用一个空格隔开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确认分组格式：A</w:t>
            </w:r>
            <w:r>
              <w:rPr>
                <w:sz w:val="21"/>
                <w:szCs w:val="21"/>
              </w:rPr>
              <w:t xml:space="preserve">CK </w:t>
            </w:r>
            <w:r>
              <w:rPr>
                <w:rFonts w:hint="eastAsia"/>
                <w:sz w:val="21"/>
                <w:szCs w:val="21"/>
              </w:rPr>
              <w:t>序号，中间用一个空格隔开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域作用：序号：保存分组的序号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：用来标识这个是一个A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包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数据：用来标识这个数据包所携带的数据。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协议两端程序流程图：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服务端：发送数据-</w:t>
            </w:r>
            <w:r>
              <w:rPr>
                <w:sz w:val="21"/>
                <w:szCs w:val="21"/>
              </w:rPr>
              <w:t>&gt;</w:t>
            </w:r>
            <w:r>
              <w:rPr>
                <w:rFonts w:hint="eastAsia"/>
                <w:sz w:val="21"/>
                <w:szCs w:val="21"/>
              </w:rPr>
              <w:t>尝试接收A</w:t>
            </w:r>
            <w:r>
              <w:rPr>
                <w:sz w:val="21"/>
                <w:szCs w:val="21"/>
              </w:rPr>
              <w:t>CK-&gt;</w:t>
            </w:r>
            <w:r>
              <w:rPr>
                <w:rFonts w:hint="eastAsia"/>
                <w:sz w:val="21"/>
                <w:szCs w:val="21"/>
              </w:rPr>
              <w:t>一段时间接收不到A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，重新发包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客户端：接收数据-</w:t>
            </w:r>
            <w:r>
              <w:rPr>
                <w:sz w:val="21"/>
                <w:szCs w:val="21"/>
              </w:rPr>
              <w:t>&gt;</w:t>
            </w:r>
            <w:r>
              <w:rPr>
                <w:rFonts w:hint="eastAsia"/>
                <w:sz w:val="21"/>
                <w:szCs w:val="21"/>
              </w:rPr>
              <w:t>发送这个包的A</w:t>
            </w:r>
            <w:r>
              <w:rPr>
                <w:sz w:val="21"/>
                <w:szCs w:val="21"/>
              </w:rPr>
              <w:t>CK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协议交互过程：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发送方发送数据-</w:t>
            </w:r>
            <w:r>
              <w:rPr>
                <w:sz w:val="21"/>
                <w:szCs w:val="21"/>
              </w:rPr>
              <w:t>&gt;</w:t>
            </w:r>
            <w:r>
              <w:rPr>
                <w:rFonts w:hint="eastAsia"/>
                <w:sz w:val="21"/>
                <w:szCs w:val="21"/>
              </w:rPr>
              <w:t>接收方接收数据-</w:t>
            </w:r>
            <w:r>
              <w:rPr>
                <w:sz w:val="21"/>
                <w:szCs w:val="21"/>
              </w:rPr>
              <w:t>&gt;</w:t>
            </w:r>
            <w:r>
              <w:rPr>
                <w:rFonts w:hint="eastAsia"/>
                <w:sz w:val="21"/>
                <w:szCs w:val="21"/>
              </w:rPr>
              <w:t>接收方返回A</w:t>
            </w:r>
            <w:r>
              <w:rPr>
                <w:sz w:val="21"/>
                <w:szCs w:val="21"/>
              </w:rPr>
              <w:t>CK-</w:t>
            </w:r>
            <w:r>
              <w:rPr>
                <w:rFonts w:hint="eastAsia"/>
                <w:sz w:val="21"/>
                <w:szCs w:val="21"/>
              </w:rPr>
              <w:t>&gt;发送方发送下一个包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主要类、函数和作用：实验过程已写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数据分组丢失模拟：使用一个概率来模拟数据丢失，如果随机数大于一个值就停止发这个包造成数据丢失。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编程主要特点：U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发送和接收都是整个包，自动保持包的边界；U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包发送接收不保证一定成功，不保证按正确顺序到达。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源代码：见报告附件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9"/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G</w:t>
            </w:r>
            <w:r>
              <w:rPr>
                <w:b/>
                <w:bCs/>
                <w:sz w:val="21"/>
                <w:szCs w:val="21"/>
              </w:rPr>
              <w:t>BN</w:t>
            </w:r>
            <w:r>
              <w:rPr>
                <w:rFonts w:hint="eastAsia"/>
                <w:b/>
                <w:bCs/>
                <w:sz w:val="21"/>
                <w:szCs w:val="21"/>
              </w:rPr>
              <w:t>协议：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数据分组格式：序号 数据，中间用一个空格隔开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确认分组格式：ACK 序号，中间用一个空格隔开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域作用：序号：保存分组的序号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ACK：用来标识这个是一个ACK包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数据：用来标识这个数据包所携带的数据。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协议两端程序流程图：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服务端：发送窗口内数据-&gt;尝试依次接收ACK-&gt;接收A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序号和当前分组序号比较，一样则移动窗口接收下一个包/不一样则继续等待原来的包，丢弃后面的所有数据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客户端：接收一组数据-&gt;依次发送这组数据的ACK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协议交互过程：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发送方发送一组数据-</w:t>
            </w:r>
            <w:r>
              <w:rPr>
                <w:sz w:val="21"/>
                <w:szCs w:val="21"/>
              </w:rPr>
              <w:t>&gt;接收方接收</w:t>
            </w:r>
            <w:r>
              <w:rPr>
                <w:rFonts w:hint="eastAsia"/>
                <w:sz w:val="21"/>
                <w:szCs w:val="21"/>
              </w:rPr>
              <w:t>一组数据-</w:t>
            </w:r>
            <w:r>
              <w:rPr>
                <w:sz w:val="21"/>
                <w:szCs w:val="21"/>
              </w:rPr>
              <w:t>&gt;接收方</w:t>
            </w:r>
            <w:r>
              <w:rPr>
                <w:rFonts w:hint="eastAsia"/>
                <w:sz w:val="21"/>
                <w:szCs w:val="21"/>
              </w:rPr>
              <w:t>依次</w:t>
            </w:r>
            <w:r>
              <w:rPr>
                <w:sz w:val="21"/>
                <w:szCs w:val="21"/>
              </w:rPr>
              <w:t>返回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CK-</w:t>
            </w:r>
            <w:r>
              <w:rPr>
                <w:rFonts w:hint="eastAsia"/>
                <w:sz w:val="21"/>
                <w:szCs w:val="21"/>
              </w:rPr>
              <w:t>&gt;</w:t>
            </w:r>
            <w:r>
              <w:rPr>
                <w:sz w:val="21"/>
                <w:szCs w:val="21"/>
              </w:rPr>
              <w:t>发送方</w:t>
            </w:r>
            <w:r>
              <w:rPr>
                <w:rFonts w:hint="eastAsia"/>
                <w:sz w:val="21"/>
                <w:szCs w:val="21"/>
              </w:rPr>
              <w:t>接收到A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，移动窗口-</w:t>
            </w:r>
            <w:r>
              <w:rPr>
                <w:sz w:val="21"/>
                <w:szCs w:val="21"/>
              </w:rPr>
              <w:t>&gt;</w:t>
            </w:r>
            <w:r>
              <w:rPr>
                <w:rFonts w:hint="eastAsia"/>
                <w:sz w:val="21"/>
                <w:szCs w:val="21"/>
              </w:rPr>
              <w:t>发送方</w:t>
            </w:r>
            <w:r>
              <w:rPr>
                <w:sz w:val="21"/>
                <w:szCs w:val="21"/>
              </w:rPr>
              <w:t>发送下一</w:t>
            </w:r>
            <w:r>
              <w:rPr>
                <w:rFonts w:hint="eastAsia"/>
                <w:sz w:val="21"/>
                <w:szCs w:val="21"/>
              </w:rPr>
              <w:t>组数据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数据分组丢失模拟：使用一个概率来模拟数据丢失，如果随机数大于一个值就停止发这个包造成数据丢失。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实验验证结果：见上面实验过程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ascii="宋体" w:hAnsi="宋体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通过这次实验，我学到了许多新知识，体会到了计算机网络的博大精深。</w:t>
            </w:r>
          </w:p>
        </w:tc>
      </w:tr>
    </w:tbl>
    <w:p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85757B"/>
    <w:multiLevelType w:val="multilevel"/>
    <w:tmpl w:val="7785757B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2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A7E"/>
    <w:rsid w:val="00050418"/>
    <w:rsid w:val="00090172"/>
    <w:rsid w:val="000C744D"/>
    <w:rsid w:val="000D7183"/>
    <w:rsid w:val="001A59A4"/>
    <w:rsid w:val="001A7905"/>
    <w:rsid w:val="001E553E"/>
    <w:rsid w:val="00215A76"/>
    <w:rsid w:val="002B4F89"/>
    <w:rsid w:val="00312918"/>
    <w:rsid w:val="00351C87"/>
    <w:rsid w:val="00386C67"/>
    <w:rsid w:val="00390C97"/>
    <w:rsid w:val="00397541"/>
    <w:rsid w:val="003A16C0"/>
    <w:rsid w:val="00441E78"/>
    <w:rsid w:val="005A398D"/>
    <w:rsid w:val="0062448C"/>
    <w:rsid w:val="006B0F6E"/>
    <w:rsid w:val="006D293C"/>
    <w:rsid w:val="0079405E"/>
    <w:rsid w:val="007A0917"/>
    <w:rsid w:val="007F2830"/>
    <w:rsid w:val="00843BD1"/>
    <w:rsid w:val="00880840"/>
    <w:rsid w:val="00890C1A"/>
    <w:rsid w:val="00924CA4"/>
    <w:rsid w:val="00A478B7"/>
    <w:rsid w:val="00A60A7E"/>
    <w:rsid w:val="00A645F8"/>
    <w:rsid w:val="00A80FEE"/>
    <w:rsid w:val="00B62C79"/>
    <w:rsid w:val="00B64CA2"/>
    <w:rsid w:val="00B93876"/>
    <w:rsid w:val="00C0231D"/>
    <w:rsid w:val="00C45551"/>
    <w:rsid w:val="00C70306"/>
    <w:rsid w:val="00DA7808"/>
    <w:rsid w:val="00DC1B9C"/>
    <w:rsid w:val="00DF6871"/>
    <w:rsid w:val="00E11B8F"/>
    <w:rsid w:val="00E326DD"/>
    <w:rsid w:val="00E7568E"/>
    <w:rsid w:val="00EB6317"/>
    <w:rsid w:val="00F47ACB"/>
    <w:rsid w:val="00F64527"/>
    <w:rsid w:val="00F846F7"/>
    <w:rsid w:val="00FE663C"/>
    <w:rsid w:val="12277A10"/>
    <w:rsid w:val="2DB6589A"/>
    <w:rsid w:val="5DC8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paragraph" w:customStyle="1" w:styleId="9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0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1">
    <w:name w:val="fontstyle01"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2">
    <w:name w:val="fontstyle21"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380</Words>
  <Characters>2168</Characters>
  <Lines>18</Lines>
  <Paragraphs>5</Paragraphs>
  <TotalTime>0</TotalTime>
  <ScaleCrop>false</ScaleCrop>
  <LinksUpToDate>false</LinksUpToDate>
  <CharactersWithSpaces>2543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麻木尔杜斯戈里亚</cp:lastModifiedBy>
  <dcterms:modified xsi:type="dcterms:W3CDTF">2020-11-15T15:07:06Z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