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  <w:jc w:val="center"/>
      </w:pPr>
      <w:r>
        <w:rPr>
          <w:rFonts w:ascii="微软雅黑" w:hAnsi="微软雅黑" w:eastAsia="微软雅黑"/>
          <w:b/>
          <w:color w:val="0F4C81"/>
          <w:sz w:val="56"/>
        </w:rPr>
        <w:t>AI与智能体服务管理平台</w:t>
      </w:r>
    </w:p>
    <w:p>
      <w:pPr>
        <w:spacing w:after="1000"/>
        <w:jc w:val="center"/>
      </w:pPr>
      <w:r>
        <w:rPr>
          <w:rFonts w:ascii="微软雅黑" w:hAnsi="微软雅黑" w:eastAsia="微软雅黑"/>
          <w:b w:val="0"/>
          <w:color w:val="3C3C3C"/>
          <w:sz w:val="32"/>
        </w:rPr>
        <w:t>产品需求文档（PRD） v0.2</w:t>
      </w:r>
    </w:p>
    <w:p>
      <w:pPr>
        <w:jc w:val="center"/>
      </w:pPr>
      <w:r>
        <w:rPr>
          <w:rFonts w:ascii="微软雅黑" w:hAnsi="微软雅黑" w:eastAsia="微软雅黑"/>
          <w:b w:val="0"/>
          <w:color w:val="787878"/>
          <w:sz w:val="22"/>
        </w:rPr>
        <w:t>—— 基于v0.1 Demo评审问题的改进版本 ——</w:t>
      </w:r>
    </w:p>
    <w:p>
      <w:pPr>
        <w:spacing w:before="1200"/>
        <w:jc w:val="center"/>
      </w:pPr>
      <w:r>
        <w:rPr>
          <w:rFonts w:ascii="微软雅黑" w:hAnsi="微软雅黑" w:eastAsia="微软雅黑"/>
          <w:b w:val="0"/>
          <w:color w:val="505050"/>
          <w:sz w:val="22"/>
        </w:rPr>
        <w:t>文档版本：v0.2（初稿，待评审）</w:t>
        <w:br/>
      </w:r>
      <w:r>
        <w:rPr>
          <w:rFonts w:ascii="微软雅黑" w:hAnsi="微软雅黑" w:eastAsia="微软雅黑"/>
          <w:b w:val="0"/>
          <w:color w:val="505050"/>
          <w:sz w:val="22"/>
        </w:rPr>
        <w:t>编制日期：2026-07-20</w:t>
        <w:br/>
      </w:r>
      <w:r>
        <w:rPr>
          <w:rFonts w:ascii="微软雅黑" w:hAnsi="微软雅黑" w:eastAsia="微软雅黑"/>
          <w:b w:val="0"/>
          <w:color w:val="505050"/>
          <w:sz w:val="22"/>
        </w:rPr>
        <w:t>文档状态：需求梳理中</w:t>
        <w:br/>
      </w:r>
      <w:r>
        <w:rPr>
          <w:rFonts w:ascii="微软雅黑" w:hAnsi="微软雅黑" w:eastAsia="微软雅黑"/>
          <w:b w:val="0"/>
          <w:color w:val="505050"/>
          <w:sz w:val="22"/>
        </w:rPr>
        <w:t>适用范围：江苏省医保局 AI与智能体服务管理平台</w:t>
        <w:br/>
      </w:r>
    </w:p>
    <w:p>
      <w:r>
        <w:br w:type="page"/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4C81"/>
          <w:sz w:val="32"/>
        </w:rPr>
        <w:t>0  文档说明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0.1 编制目的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本文档基于v0.1 Demo评审反馈，对AI与智能体服务管理平台的需求进行系统性补全与修订，重点解决Demo中存在的功能缺失、流程断点、角色与权限模型不完整、数据闭环未打通等问题，作为后续详细设计与开发实施的输入。本文档不替代最终设计文档，仅用于在需求梳理工具中进一步细化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0.2 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850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417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5102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修订内容</w:t>
            </w:r>
          </w:p>
        </w:tc>
        <w:tc>
          <w:tcPr>
            <w:tcW w:type="dxa" w:w="1134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编制/修订人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v0.1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2026-07-16</w:t>
            </w:r>
          </w:p>
        </w:tc>
        <w:tc>
          <w:tcPr>
            <w:tcW w:type="dxa" w:w="51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基于建设内容文档形成首版PRD与Demo界面骨架</w:t>
            </w:r>
          </w:p>
        </w:tc>
        <w:tc>
          <w:tcPr>
            <w:tcW w:type="dxa" w:w="113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v0.2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2026-07-20</w:t>
            </w:r>
          </w:p>
        </w:tc>
        <w:tc>
          <w:tcPr>
            <w:tcW w:type="dxa" w:w="51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针对Demo评审问题，补全缺失模块、修正流程断点、明确角色权限、增加试点与多主体协同、增加端到端数据流转闭环</w:t>
            </w:r>
          </w:p>
        </w:tc>
        <w:tc>
          <w:tcPr>
            <w:tcW w:type="dxa" w:w="113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0.3 术语与缩写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6803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AI服务</w:t>
            </w:r>
          </w:p>
        </w:tc>
        <w:tc>
          <w:tcPr>
            <w:tcW w:type="dxa" w:w="6803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在本平台中指可被订阅、调用的模型、智能体及其组合，统一以服务形式纳管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词元（Token）</w:t>
            </w:r>
          </w:p>
        </w:tc>
        <w:tc>
          <w:tcPr>
            <w:tcW w:type="dxa" w:w="6803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AI服务调用的统一计量单位，包括但不限于LLM Token、检查例次、调用次数等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五类分类</w:t>
            </w:r>
          </w:p>
        </w:tc>
        <w:tc>
          <w:tcPr>
            <w:tcW w:type="dxa" w:w="6803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通用基础大模型 / 医保自研专属大模型 / 医保基金监管共建模型 / 省头部医疗机构共建垂直模型 / 市场化合规生态AI产品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三级准入</w:t>
            </w:r>
          </w:p>
        </w:tc>
        <w:tc>
          <w:tcPr>
            <w:tcW w:type="dxa" w:w="6803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高风险（资质核验+技术测评+临床验收）/ 中风险（资质核验+简化技术测试）/ 低风险（备案上架）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多主体</w:t>
            </w:r>
          </w:p>
        </w:tc>
        <w:tc>
          <w:tcPr>
            <w:tcW w:type="dxa" w:w="6803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医保部门、医疗机构、运营单位、AI企业、科研机构、医院自研团队等参与方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试点</w:t>
            </w:r>
          </w:p>
        </w:tc>
        <w:tc>
          <w:tcPr>
            <w:tcW w:type="dxa" w:w="6803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在特定城市、医院、项目范围内进行的限定性试运行，配套独立授权与计量规则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RABC</w:t>
            </w:r>
          </w:p>
        </w:tc>
        <w:tc>
          <w:tcPr>
            <w:tcW w:type="dxa" w:w="6803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基于角色的访问控制（Role-Based Access Control）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4C81"/>
          <w:sz w:val="32"/>
        </w:rPr>
        <w:t>1  项目背景与建设目标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1.1 项目背景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江苏省医保局在AI与智能体服务应用方面已积累一定基础，但仍面临服务资源分散、准入口径不统一、计量计费不闭环、多主体协同不畅、试点成效难以量化等问题。本项目旨在建设统一的AI与智能体服务管理平台，将各类模型、智能体、数据资源、知识资源、平台工具及相关供给主体纳入统一管理，形成全省AI服务资源底账与运营中枢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1.2 建设目标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/>
          <w:color w:val="0F4C81"/>
          <w:sz w:val="21"/>
        </w:rPr>
        <w:t>服务资源统一纳管：</w:t>
      </w:r>
      <w:r>
        <w:rPr>
          <w:rFonts w:ascii="微软雅黑" w:hAnsi="微软雅黑" w:eastAsia="微软雅黑"/>
          <w:b w:val="0"/>
          <w:sz w:val="21"/>
        </w:rPr>
        <w:t>形成全省AI服务资源底账，统一服务目录、资源底账、准入状态和使用范围口径，减少重复建设与资源闲置。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/>
          <w:color w:val="0F4C81"/>
          <w:sz w:val="21"/>
        </w:rPr>
        <w:t>准入运营闭环管理：</w:t>
      </w:r>
      <w:r>
        <w:rPr>
          <w:rFonts w:ascii="微软雅黑" w:hAnsi="微软雅黑" w:eastAsia="微软雅黑"/>
          <w:b w:val="0"/>
          <w:sz w:val="21"/>
        </w:rPr>
        <w:t>建立贯穿 准入-上架-运行-评价-退出 的全生命周期管理，过程可留痕、可核验、可追溯。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/>
          <w:color w:val="0F4C81"/>
          <w:sz w:val="21"/>
        </w:rPr>
        <w:t>词元计量计费闭环：</w:t>
      </w:r>
      <w:r>
        <w:rPr>
          <w:rFonts w:ascii="微软雅黑" w:hAnsi="微软雅黑" w:eastAsia="微软雅黑"/>
          <w:b w:val="0"/>
          <w:sz w:val="21"/>
        </w:rPr>
        <w:t>从概念设计转向实际运行管理，统一计量规则、对账规则与异常处置规则，支撑使用可计量、成本可核算、结果可评价。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/>
          <w:color w:val="0F4C81"/>
          <w:sz w:val="21"/>
        </w:rPr>
        <w:t>多主体协同治理：</w:t>
      </w:r>
      <w:r>
        <w:rPr>
          <w:rFonts w:ascii="微软雅黑" w:hAnsi="微软雅黑" w:eastAsia="微软雅黑"/>
          <w:b w:val="0"/>
          <w:sz w:val="21"/>
        </w:rPr>
        <w:t>明确医保部门、医疗机构、运营单位、AI企业、科研机构、医院自研团队等主体的接入边界、授权、权限与责任留痕。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/>
          <w:color w:val="0F4C81"/>
          <w:sz w:val="21"/>
        </w:rPr>
        <w:t>试点成效可量化：</w:t>
      </w:r>
      <w:r>
        <w:rPr>
          <w:rFonts w:ascii="微软雅黑" w:hAnsi="微软雅黑" w:eastAsia="微软雅黑"/>
          <w:b w:val="0"/>
          <w:sz w:val="21"/>
        </w:rPr>
        <w:t>支持试点城市、试点医院、专项项目的独立授权、独立计量与独立成效评估，为推广决策提供依据。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1.3 用户角色概览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平台按 前台门户 + 后台管理 两大板块组织，识别以下角色（v0.1仅支持3种，v0.2补全）：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17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417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归属板块</w:t>
            </w:r>
          </w:p>
        </w:tc>
        <w:tc>
          <w:tcPr>
            <w:tcW w:type="dxa" w:w="4252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主要职责</w:t>
            </w:r>
          </w:p>
        </w:tc>
        <w:tc>
          <w:tcPr>
            <w:tcW w:type="dxa" w:w="1417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v0.1是否实现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访客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前台门户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浏览门户、服务市场，无需登录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部分（公开访问）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机构用户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机构工作台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本院AI服务订阅、配额管控、调用权限申请、费用结算、评价反馈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部分（缺调用权限申请、评价反馈）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开发者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开发者中心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上架申请、测试协同、版本迭代、收益对账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部分（缺版本迭代）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平台运营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管理中心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运营管理、运营分析、对账、计费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部分（流程不完整）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平台审核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管理中心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准入审核、资质审核、整改跟踪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未独立区分（混入运营）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平台管理员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管理中心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系统配置、用户与角色、接口与集成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部分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医保监管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管理中心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基金监管共建模型监管、场景应用分析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未实现</w:t>
            </w:r>
          </w:p>
        </w:tc>
      </w:tr>
    </w:tbl>
    <w:p>
      <w:pPr>
        <w:spacing w:after="40"/>
      </w:pPr>
    </w:p>
    <w:p>
      <w:pPr>
        <w:spacing w:before="80" w:after="120" w:line="336" w:lineRule="auto"/>
        <w:ind w:left="113" w:right="113"/>
        <w:shd w:val="clear" w:fill="FEF3C7"/>
        <w:pBdr>
          <w:top w:val="single" w:sz="4" w:space="4" w:color="E5E7EB"/>
          <w:bottom w:val="single" w:sz="4" w:space="4" w:color="E5E7EB"/>
          <w:right w:val="single" w:sz="4" w:space="4" w:color="E5E7EB"/>
          <w:left w:val="single" w:sz="24" w:space="4" w:color="F59E0B"/>
        </w:pBdr>
      </w:pPr>
      <w:r>
        <w:rPr>
          <w:rFonts w:ascii="微软雅黑" w:hAnsi="微软雅黑" w:eastAsia="微软雅黑"/>
          <w:b w:val="0"/>
          <w:color w:val="3C3C3C"/>
          <w:sz w:val="20"/>
        </w:rPr>
        <w:t>改进点①：v0.1将 运营/审核/管理 合并为admin单角色，导致权限边界模糊、操作无法精细留痕。v0.2按职责拆分为平台运营、平台审核、平台管理员三类，医保监管作为独立只读角色。</w:t>
      </w:r>
    </w:p>
    <w:p>
      <w:r>
        <w:br w:type="page"/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4C81"/>
          <w:sz w:val="32"/>
        </w:rPr>
        <w:t>2  v0.1 Demo问题盘点与改进方向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本章列出Demo评审中识别的主要缺失与逻辑不合理点，作为v0.2需求补全的依据。每条问题均标注影响范围与改进方向，后续章节将给出具体功能要求。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2.1 角色与权限模型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020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问题编号</w:t>
            </w:r>
          </w:p>
        </w:tc>
        <w:tc>
          <w:tcPr>
            <w:tcW w:type="dxa" w:w="3685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问题描述</w:t>
            </w:r>
          </w:p>
        </w:tc>
        <w:tc>
          <w:tcPr>
            <w:tcW w:type="dxa" w:w="1701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381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改进方向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P-01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仅org/developer/admin三种角色，审核、运营、管理职责未分离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权限边界模糊、操作无法精细留痕</w:t>
            </w:r>
          </w:p>
        </w:tc>
        <w:tc>
          <w:tcPr>
            <w:tcW w:type="dxa" w:w="238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拆分为运营、审核、管理员三类，新增医保监管只读角色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P-02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登录为mock点击式，无真实身份认证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无法对接统一身份认证</w:t>
            </w:r>
          </w:p>
        </w:tc>
        <w:tc>
          <w:tcPr>
            <w:tcW w:type="dxa" w:w="238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预留SSO/OAuth接口，登录页支持账号密码+SSO双通道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P-03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无角色权限矩阵，仅按路由做粗粒度拦截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越权风险</w:t>
            </w:r>
          </w:p>
        </w:tc>
        <w:tc>
          <w:tcPr>
            <w:tcW w:type="dxa" w:w="238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输出RABC权限矩阵，菜单/按钮/数据三级权限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P-04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无访客概念，公开页与登录页跳转混乱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用户体验差</w:t>
            </w:r>
          </w:p>
        </w:tc>
        <w:tc>
          <w:tcPr>
            <w:tcW w:type="dxa" w:w="238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明确访客可访问范围，未登录访问受限页时引导登录</w:t>
            </w:r>
          </w:p>
        </w:tc>
      </w:tr>
    </w:tbl>
    <w:p>
      <w:pPr>
        <w:spacing w:after="40"/>
      </w:pP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2.2 业务流程与闭环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020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问题编号</w:t>
            </w:r>
          </w:p>
        </w:tc>
        <w:tc>
          <w:tcPr>
            <w:tcW w:type="dxa" w:w="3685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问题描述</w:t>
            </w:r>
          </w:p>
        </w:tc>
        <w:tc>
          <w:tcPr>
            <w:tcW w:type="dxa" w:w="1701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381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改进方向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P-05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服务订阅申请无审批环节，订阅列表只是数据展示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无法体现 申请-审批-生效 闭环</w:t>
            </w:r>
          </w:p>
        </w:tc>
        <w:tc>
          <w:tcPr>
            <w:tcW w:type="dxa" w:w="238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增加订阅申请单、审批工作台、状态机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P-06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 模型调用权限申请 页面缺失（PRD 2.3.3）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机构无法为院内主体申请调用权限</w:t>
            </w:r>
          </w:p>
        </w:tc>
        <w:tc>
          <w:tcPr>
            <w:tcW w:type="dxa" w:w="238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新增调用权限申请页，与订阅、配额联动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P-07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 服务评价反馈 页面缺失（PRD 2.3.3）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评价数据无采集入口，质量评价无来源</w:t>
            </w:r>
          </w:p>
        </w:tc>
        <w:tc>
          <w:tcPr>
            <w:tcW w:type="dxa" w:w="238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新增评价提交页，纳入服务质量评价体系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P-08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开发者 版本迭代管理 页面缺失（PRD 2.4.3）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版本变更无管理，复审触发规则不明</w:t>
            </w:r>
          </w:p>
        </w:tc>
        <w:tc>
          <w:tcPr>
            <w:tcW w:type="dxa" w:w="238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新增版本迭代页，按风险等级触发复审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P-09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开发者上架申请与平台准入审核之间无显式流转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两侧看板割裂</w:t>
            </w:r>
          </w:p>
        </w:tc>
        <w:tc>
          <w:tcPr>
            <w:tcW w:type="dxa" w:w="238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上架申请单作为准入审核的输入，状态双向同步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P-10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退订/退款流程缺失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订阅到期或撤销无处理路径</w:t>
            </w:r>
          </w:p>
        </w:tc>
        <w:tc>
          <w:tcPr>
            <w:tcW w:type="dxa" w:w="238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新增退订申请单、剩余词元结算规则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P-11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资质到期管理缺失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资质失效后服务仍在售风险</w:t>
            </w:r>
          </w:p>
        </w:tc>
        <w:tc>
          <w:tcPr>
            <w:tcW w:type="dxa" w:w="238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新增到期提醒、续证流程、自动下架规则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P-12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异常对账只识别不处置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异常挂账无闭环</w:t>
            </w:r>
          </w:p>
        </w:tc>
        <w:tc>
          <w:tcPr>
            <w:tcW w:type="dxa" w:w="238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增加核验、退费、追责处置流程与状态机</w:t>
            </w:r>
          </w:p>
        </w:tc>
      </w:tr>
    </w:tbl>
    <w:p>
      <w:pPr>
        <w:spacing w:after="40"/>
      </w:pP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2.3 模块功能完整性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020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问题编号</w:t>
            </w:r>
          </w:p>
        </w:tc>
        <w:tc>
          <w:tcPr>
            <w:tcW w:type="dxa" w:w="4252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问题描述</w:t>
            </w:r>
          </w:p>
        </w:tc>
        <w:tc>
          <w:tcPr>
            <w:tcW w:type="dxa" w:w="3515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改进方向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P-13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资产总览管理仅按 数据/知识/工具 三类资源分页，缺少资产台账、资产分类总览、资产使用概览三个功能维度</w:t>
            </w:r>
          </w:p>
        </w:tc>
        <w:tc>
          <w:tcPr>
            <w:tcW w:type="dxa" w:w="351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在三类资源之上增加资产总览首页，提供台账视图、分布视图、使用视图三个Tab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P-14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资产与AI服务的关联关系缺失（某模型用了哪些数据/知识/工具）</w:t>
            </w:r>
          </w:p>
        </w:tc>
        <w:tc>
          <w:tcPr>
            <w:tcW w:type="dxa" w:w="351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增加资产-服务关联视图，模型/智能体详情页展示所依赖资产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P-15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词元计费管理将规则、额度、包管理混在一个页面，无版本/生效失效管理</w:t>
            </w:r>
          </w:p>
        </w:tc>
        <w:tc>
          <w:tcPr>
            <w:tcW w:type="dxa" w:w="351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拆分为独立子页，规则支持版本化、生效失效时间、审批留痕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P-16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对账查询导出无审计留痕</w:t>
            </w:r>
          </w:p>
        </w:tc>
        <w:tc>
          <w:tcPr>
            <w:tcW w:type="dxa" w:w="351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导出操作纳入安全审计，导出文件含水印与追溯信息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P-17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运行监测仅展示大屏，无下钻与异常处置</w:t>
            </w:r>
          </w:p>
        </w:tc>
        <w:tc>
          <w:tcPr>
            <w:tcW w:type="dxa" w:w="351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增加异常下钻、告警工单、处置闭环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P-18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质量评价无评价方案、指标配置、结果明细</w:t>
            </w:r>
          </w:p>
        </w:tc>
        <w:tc>
          <w:tcPr>
            <w:tcW w:type="dxa" w:w="351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增加评价指标库、评价方案管理、评价结果明细与趋势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P-19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安全审计仅日志列表，无审计规则、告警处置</w:t>
            </w:r>
          </w:p>
        </w:tc>
        <w:tc>
          <w:tcPr>
            <w:tcW w:type="dxa" w:w="351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增加审计规则配置、告警阈值、告警工单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P-20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运营分析与运营管理边界不清，分析维度未下钻</w:t>
            </w:r>
          </w:p>
        </w:tc>
        <w:tc>
          <w:tcPr>
            <w:tcW w:type="dxa" w:w="351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运营分析独立模块，三个分析维度分别支持机构/服务/场景下钻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P-21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服务详情页缺少词元计量规则、试点案例、评价评分、相关推荐</w:t>
            </w:r>
          </w:p>
        </w:tc>
        <w:tc>
          <w:tcPr>
            <w:tcW w:type="dxa" w:w="351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按PRD 2.2.3补全详情字段与交互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P-22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门户首页缺少公告详情、搜索、个人中心</w:t>
            </w:r>
          </w:p>
        </w:tc>
        <w:tc>
          <w:tcPr>
            <w:tcW w:type="dxa" w:w="351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增加公告详情页、全站搜索、个人中心</w:t>
            </w:r>
          </w:p>
        </w:tc>
      </w:tr>
    </w:tbl>
    <w:p>
      <w:pPr>
        <w:spacing w:after="40"/>
      </w:pP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2.4 端到端数据流转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020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问题编号</w:t>
            </w:r>
          </w:p>
        </w:tc>
        <w:tc>
          <w:tcPr>
            <w:tcW w:type="dxa" w:w="4252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问题描述</w:t>
            </w:r>
          </w:p>
        </w:tc>
        <w:tc>
          <w:tcPr>
            <w:tcW w:type="dxa" w:w="3515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改进方向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P-23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服务上架—订阅—配额—调用—计费—对账—评价 七环节未打通，数据各自孤立</w:t>
            </w:r>
          </w:p>
        </w:tc>
        <w:tc>
          <w:tcPr>
            <w:tcW w:type="dxa" w:w="351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定义统一主数据（服务ID、订阅ID、配额ID、调用ID、账单ID、评价ID），保证跨模块可追溯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P-24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机构侧配额与平台侧额度配置数据不同步</w:t>
            </w:r>
          </w:p>
        </w:tc>
        <w:tc>
          <w:tcPr>
            <w:tcW w:type="dxa" w:w="351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配额变更通过事件总线同步，两侧展示一致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P-25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调用明细与对账账单的口径不一致风险</w:t>
            </w:r>
          </w:p>
        </w:tc>
        <w:tc>
          <w:tcPr>
            <w:tcW w:type="dxa" w:w="351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统一计费规则版本号，账单与明细绑定规则版本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P-26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试点项目的独立计量与成效评估无支撑</w:t>
            </w:r>
          </w:p>
        </w:tc>
        <w:tc>
          <w:tcPr>
            <w:tcW w:type="dxa" w:w="351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新增试点管理模块，试点项目作为独立授权与计量单元</w:t>
            </w:r>
          </w:p>
        </w:tc>
      </w:tr>
    </w:tbl>
    <w:p>
      <w:pPr>
        <w:spacing w:after="40"/>
      </w:pP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2.5 非功能性问题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020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问题编号</w:t>
            </w:r>
          </w:p>
        </w:tc>
        <w:tc>
          <w:tcPr>
            <w:tcW w:type="dxa" w:w="4252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问题描述</w:t>
            </w:r>
          </w:p>
        </w:tc>
        <w:tc>
          <w:tcPr>
            <w:tcW w:type="dxa" w:w="3515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改进方向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P-27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无消息通知/站内信/待办聚合</w:t>
            </w:r>
          </w:p>
        </w:tc>
        <w:tc>
          <w:tcPr>
            <w:tcW w:type="dxa" w:w="351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增加消息中心、待办工作台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P-28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无API开放能力、API Key管理、调用统计、限流配置</w:t>
            </w:r>
          </w:p>
        </w:tc>
        <w:tc>
          <w:tcPr>
            <w:tcW w:type="dxa" w:w="351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新增API开放平台子模块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P-29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敏感数据（患者数据、医保数据）无脱敏/加密/权限隔离说明</w:t>
            </w:r>
          </w:p>
        </w:tc>
        <w:tc>
          <w:tcPr>
            <w:tcW w:type="dxa" w:w="351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在系统管理中补充数据安全配置章节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P-30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无错误处理、404/403页、引导帮助</w:t>
            </w:r>
          </w:p>
        </w:tc>
        <w:tc>
          <w:tcPr>
            <w:tcW w:type="dxa" w:w="351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增加全局错误页与新手引导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4C81"/>
          <w:sz w:val="32"/>
        </w:rPr>
        <w:t>3  系统总体设计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3.1 总体架构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系统围绕 数据资源层、平台能力层、服务应用层 三层展开：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/>
          <w:color w:val="0F4C81"/>
          <w:sz w:val="21"/>
        </w:rPr>
        <w:t>数据资源层：</w:t>
      </w:r>
      <w:r>
        <w:rPr>
          <w:rFonts w:ascii="微软雅黑" w:hAnsi="微软雅黑" w:eastAsia="微软雅黑"/>
          <w:b w:val="0"/>
          <w:sz w:val="21"/>
        </w:rPr>
        <w:t>沉淀服务目录、模型与智能体资产、知识与工具资源、词元消耗、用户机构、开发者信息、评价结果、审计日志等管理数据。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/>
          <w:color w:val="0F4C81"/>
          <w:sz w:val="21"/>
        </w:rPr>
        <w:t>平台能力层：</w:t>
      </w:r>
      <w:r>
        <w:rPr>
          <w:rFonts w:ascii="微软雅黑" w:hAnsi="微软雅黑" w:eastAsia="微软雅黑"/>
          <w:b w:val="0"/>
          <w:sz w:val="21"/>
        </w:rPr>
        <w:t>承载模型编目、资产总览、词元计费、对账查询、运营管理、运营分析、开发者管理、用户管理、试点管理、系统管理等核心能力。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/>
          <w:color w:val="0F4C81"/>
          <w:sz w:val="21"/>
        </w:rPr>
        <w:t>服务应用层：</w:t>
      </w:r>
      <w:r>
        <w:rPr>
          <w:rFonts w:ascii="微软雅黑" w:hAnsi="微软雅黑" w:eastAsia="微软雅黑"/>
          <w:b w:val="0"/>
          <w:sz w:val="21"/>
        </w:rPr>
        <w:t>面向医保AI资源统筹、服务准入审核、词元运营管理、运行监管分析、服务评价退出和多主体协同管理等业务工作。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3.2 功能板块划分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020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板块</w:t>
            </w:r>
          </w:p>
        </w:tc>
        <w:tc>
          <w:tcPr>
            <w:tcW w:type="dxa" w:w="1531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252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主要能力</w:t>
            </w:r>
          </w:p>
        </w:tc>
        <w:tc>
          <w:tcPr>
            <w:tcW w:type="dxa" w:w="1417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v0.2状态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前台门户</w:t>
            </w:r>
          </w:p>
        </w:tc>
        <w:tc>
          <w:tcPr>
            <w:tcW w:type="dxa" w:w="153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门户首页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平台介绍、公告动态、快捷入口、开发者入驻、搜索、个人中心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前台门户</w:t>
            </w:r>
          </w:p>
        </w:tc>
        <w:tc>
          <w:tcPr>
            <w:tcW w:type="dxa" w:w="153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AI服务市场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分类浏览、检索匹配、服务详情、订阅申请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补全详情与订阅流程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前台门户</w:t>
            </w:r>
          </w:p>
        </w:tc>
        <w:tc>
          <w:tcPr>
            <w:tcW w:type="dxa" w:w="153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机构工作台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订阅管理、配额管理、调用权限申请、费用结算、评价反馈、院内用户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新增3个子页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前台门户</w:t>
            </w:r>
          </w:p>
        </w:tc>
        <w:tc>
          <w:tcPr>
            <w:tcW w:type="dxa" w:w="153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开发者中心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上架申请、测试协同、版本迭代、收益对账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新增版本迭代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管理中心</w:t>
            </w:r>
          </w:p>
        </w:tc>
        <w:tc>
          <w:tcPr>
            <w:tcW w:type="dxa" w:w="153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模型编目管理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分类管理、信息管理、资质材料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保持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管理中心</w:t>
            </w:r>
          </w:p>
        </w:tc>
        <w:tc>
          <w:tcPr>
            <w:tcW w:type="dxa" w:w="153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资产总览管理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资产台账、分类总览、使用概览 + 数据/知识/工具三类资源子页 + 资产-服务关联视图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新增总览与关联视图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管理中心</w:t>
            </w:r>
          </w:p>
        </w:tc>
        <w:tc>
          <w:tcPr>
            <w:tcW w:type="dxa" w:w="153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词元计费管理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计量管理、额度配置、消耗监测、计费规则、词元包管理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拆分子页、规则版本化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管理中心</w:t>
            </w:r>
          </w:p>
        </w:tc>
        <w:tc>
          <w:tcPr>
            <w:tcW w:type="dxa" w:w="153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对账查询管理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调用明细、周期账单、异常对账、结果导出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补全处置流程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管理中心</w:t>
            </w:r>
          </w:p>
        </w:tc>
        <w:tc>
          <w:tcPr>
            <w:tcW w:type="dxa" w:w="153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运营管理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服务准入、上架下架、运行监测、质量评价、安全审计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补全处置与配置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管理中心</w:t>
            </w:r>
          </w:p>
        </w:tc>
        <w:tc>
          <w:tcPr>
            <w:tcW w:type="dxa" w:w="153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运营分析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服务热度、服务质量、场景应用分析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支持下钻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管理中心</w:t>
            </w:r>
          </w:p>
        </w:tc>
        <w:tc>
          <w:tcPr>
            <w:tcW w:type="dxa" w:w="153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开发者管理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资质审核、整改跟踪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保持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管理中心</w:t>
            </w:r>
          </w:p>
        </w:tc>
        <w:tc>
          <w:tcPr>
            <w:tcW w:type="dxa" w:w="153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用户与权限管理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机构用户、角色权限、服务授权、行为留痕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新增权限矩阵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管理中心</w:t>
            </w:r>
          </w:p>
        </w:tc>
        <w:tc>
          <w:tcPr>
            <w:tcW w:type="dxa" w:w="153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试点与多主体协同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试点项目管理、多主体接入边界、协同授权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新增模块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管理中心</w:t>
            </w:r>
          </w:p>
        </w:tc>
        <w:tc>
          <w:tcPr>
            <w:tcW w:type="dxa" w:w="153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系统管理</w:t>
            </w:r>
          </w:p>
        </w:tc>
        <w:tc>
          <w:tcPr>
            <w:tcW w:type="dxa" w:w="425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基础参数、接口与集成、API开放平台、系统日志、数据安全</w:t>
            </w:r>
          </w:p>
        </w:tc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新增API与数据安全</w:t>
            </w:r>
          </w:p>
        </w:tc>
      </w:tr>
    </w:tbl>
    <w:p>
      <w:pPr>
        <w:spacing w:after="40"/>
      </w:pP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3.3 角色权限矩阵（RABC）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下表给出主要功能与角色的访问关系（C=创建 R=查询 U=修改 D=删除 A=审批）：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701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794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访客</w:t>
            </w:r>
          </w:p>
        </w:tc>
        <w:tc>
          <w:tcPr>
            <w:tcW w:type="dxa" w:w="964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机构用户</w:t>
            </w:r>
          </w:p>
        </w:tc>
        <w:tc>
          <w:tcPr>
            <w:tcW w:type="dxa" w:w="850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开发者</w:t>
            </w:r>
          </w:p>
        </w:tc>
        <w:tc>
          <w:tcPr>
            <w:tcW w:type="dxa" w:w="964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平台运营</w:t>
            </w:r>
          </w:p>
        </w:tc>
        <w:tc>
          <w:tcPr>
            <w:tcW w:type="dxa" w:w="964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平台审核</w:t>
            </w:r>
          </w:p>
        </w:tc>
        <w:tc>
          <w:tcPr>
            <w:tcW w:type="dxa" w:w="1020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平台管理员</w:t>
            </w:r>
          </w:p>
        </w:tc>
        <w:tc>
          <w:tcPr>
            <w:tcW w:type="dxa" w:w="964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医保监管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门户/服务市场</w:t>
            </w:r>
          </w:p>
        </w:tc>
        <w:tc>
          <w:tcPr>
            <w:tcW w:type="dxa" w:w="79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服务订阅</w:t>
            </w:r>
          </w:p>
        </w:tc>
        <w:tc>
          <w:tcPr>
            <w:tcW w:type="dxa" w:w="79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C/R/U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A/R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配额管理</w:t>
            </w:r>
          </w:p>
        </w:tc>
        <w:tc>
          <w:tcPr>
            <w:tcW w:type="dxa" w:w="79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R/U(本院)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C/R/U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调用权限申请</w:t>
            </w:r>
          </w:p>
        </w:tc>
        <w:tc>
          <w:tcPr>
            <w:tcW w:type="dxa" w:w="79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C/R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A/R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上架申请</w:t>
            </w:r>
          </w:p>
        </w:tc>
        <w:tc>
          <w:tcPr>
            <w:tcW w:type="dxa" w:w="79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C/R/U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准入审核</w:t>
            </w:r>
          </w:p>
        </w:tc>
        <w:tc>
          <w:tcPr>
            <w:tcW w:type="dxa" w:w="79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R(本人)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模型编目</w:t>
            </w:r>
          </w:p>
        </w:tc>
        <w:tc>
          <w:tcPr>
            <w:tcW w:type="dxa" w:w="79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C/R/U/D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资产总览</w:t>
            </w:r>
          </w:p>
        </w:tc>
        <w:tc>
          <w:tcPr>
            <w:tcW w:type="dxa" w:w="79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C/R/U/D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词元计费规则</w:t>
            </w:r>
          </w:p>
        </w:tc>
        <w:tc>
          <w:tcPr>
            <w:tcW w:type="dxa" w:w="79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C/R/U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对账查询</w:t>
            </w:r>
          </w:p>
        </w:tc>
        <w:tc>
          <w:tcPr>
            <w:tcW w:type="dxa" w:w="79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R(本院)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R(本人)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C/R/U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运营监测</w:t>
            </w:r>
          </w:p>
        </w:tc>
        <w:tc>
          <w:tcPr>
            <w:tcW w:type="dxa" w:w="79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R(本院)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R(本人)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R/U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质量评价</w:t>
            </w:r>
          </w:p>
        </w:tc>
        <w:tc>
          <w:tcPr>
            <w:tcW w:type="dxa" w:w="79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R(本院)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R(本人)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C/R/U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安全审计</w:t>
            </w:r>
          </w:p>
        </w:tc>
        <w:tc>
          <w:tcPr>
            <w:tcW w:type="dxa" w:w="79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R/U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运营分析</w:t>
            </w:r>
          </w:p>
        </w:tc>
        <w:tc>
          <w:tcPr>
            <w:tcW w:type="dxa" w:w="79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R(本院)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R(本人)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开发者管理</w:t>
            </w:r>
          </w:p>
        </w:tc>
        <w:tc>
          <w:tcPr>
            <w:tcW w:type="dxa" w:w="79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R(本人)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R/U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用户与权限</w:t>
            </w:r>
          </w:p>
        </w:tc>
        <w:tc>
          <w:tcPr>
            <w:tcW w:type="dxa" w:w="79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R(本人)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R(本人)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C/R/U/D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试点管理</w:t>
            </w:r>
          </w:p>
        </w:tc>
        <w:tc>
          <w:tcPr>
            <w:tcW w:type="dxa" w:w="79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C/R/U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R/U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系统管理</w:t>
            </w:r>
          </w:p>
        </w:tc>
        <w:tc>
          <w:tcPr>
            <w:tcW w:type="dxa" w:w="79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C/R/U/D</w:t>
            </w:r>
          </w:p>
        </w:tc>
        <w:tc>
          <w:tcPr>
            <w:tcW w:type="dxa" w:w="964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</w:tr>
    </w:tbl>
    <w:p>
      <w:pPr>
        <w:spacing w:after="40"/>
      </w:pPr>
    </w:p>
    <w:p>
      <w:pPr>
        <w:spacing w:before="80" w:after="120" w:line="336" w:lineRule="auto"/>
        <w:ind w:left="113" w:right="113"/>
        <w:shd w:val="clear" w:fill="DCEBFC"/>
        <w:pBdr>
          <w:top w:val="single" w:sz="4" w:space="4" w:color="E5E7EB"/>
          <w:bottom w:val="single" w:sz="4" w:space="4" w:color="E5E7EB"/>
          <w:right w:val="single" w:sz="4" w:space="4" w:color="E5E7EB"/>
          <w:left w:val="single" w:sz="24" w:space="4" w:color="3B82F6"/>
        </w:pBdr>
      </w:pPr>
      <w:r>
        <w:rPr>
          <w:rFonts w:ascii="微软雅黑" w:hAnsi="微软雅黑" w:eastAsia="微软雅黑"/>
          <w:b w:val="0"/>
          <w:color w:val="3C3C3C"/>
          <w:sz w:val="20"/>
        </w:rPr>
        <w:t>改进点②：上表为初版权限矩阵，需在需求梳理工具中进一步细化到按钮级（如导出、下架、调整额度等敏感操作）。医保监管为只读角色，重点访问运营分析、对账、安全审计相关数据。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3.4 主数据与数据流转闭环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为保证七环节可追溯，定义以下主数据ID与流转关系：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/>
          <w:color w:val="0F4C81"/>
          <w:sz w:val="21"/>
        </w:rPr>
        <w:t>服务ID（service_id）：</w:t>
      </w:r>
      <w:r>
        <w:rPr>
          <w:rFonts w:ascii="微软雅黑" w:hAnsi="微软雅黑" w:eastAsia="微软雅黑"/>
          <w:b w:val="0"/>
          <w:sz w:val="21"/>
        </w:rPr>
        <w:t>AI服务的全局唯一标识，从上架申请通过后生成。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/>
          <w:color w:val="0F4C81"/>
          <w:sz w:val="21"/>
        </w:rPr>
        <w:t>版本ID（version_id）：</w:t>
      </w:r>
      <w:r>
        <w:rPr>
          <w:rFonts w:ascii="微软雅黑" w:hAnsi="微软雅黑" w:eastAsia="微软雅黑"/>
          <w:b w:val="0"/>
          <w:sz w:val="21"/>
        </w:rPr>
        <w:t>同一服务的版本号，每次版本迭代新增，绑定计费规则版本。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/>
          <w:color w:val="0F4C81"/>
          <w:sz w:val="21"/>
        </w:rPr>
        <w:t>订阅ID（subscription_id）：</w:t>
      </w:r>
      <w:r>
        <w:rPr>
          <w:rFonts w:ascii="微软雅黑" w:hAnsi="微软雅黑" w:eastAsia="微软雅黑"/>
          <w:b w:val="0"/>
          <w:sz w:val="21"/>
        </w:rPr>
        <w:t>机构订阅服务后生成，关联服务ID、机构ID、有效期、配额ID。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/>
          <w:color w:val="0F4C81"/>
          <w:sz w:val="21"/>
        </w:rPr>
        <w:t>配额ID（quota_id）：</w:t>
      </w:r>
      <w:r>
        <w:rPr>
          <w:rFonts w:ascii="微软雅黑" w:hAnsi="微软雅黑" w:eastAsia="微软雅黑"/>
          <w:b w:val="0"/>
          <w:sz w:val="21"/>
        </w:rPr>
        <w:t>订阅生效后生成，关联订阅ID，记录词元额度、已用、可用。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/>
          <w:color w:val="0F4C81"/>
          <w:sz w:val="21"/>
        </w:rPr>
        <w:t>调用权限ID（permission_id）：</w:t>
      </w:r>
      <w:r>
        <w:rPr>
          <w:rFonts w:ascii="微软雅黑" w:hAnsi="微软雅黑" w:eastAsia="微软雅黑"/>
          <w:b w:val="0"/>
          <w:sz w:val="21"/>
        </w:rPr>
        <w:t>机构为院内主体申请的调用权限，关联订阅ID与主体ID。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/>
          <w:color w:val="0F4C81"/>
          <w:sz w:val="21"/>
        </w:rPr>
        <w:t>调用ID（call_id）：</w:t>
      </w:r>
      <w:r>
        <w:rPr>
          <w:rFonts w:ascii="微软雅黑" w:hAnsi="微软雅黑" w:eastAsia="微软雅黑"/>
          <w:b w:val="0"/>
          <w:sz w:val="21"/>
        </w:rPr>
        <w:t>每次AI服务调用生成，关联服务版本ID、权限ID、调用主体、词元消耗、计费规则版本。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/>
          <w:color w:val="0F4C81"/>
          <w:sz w:val="21"/>
        </w:rPr>
        <w:t>账单ID（bill_id）：</w:t>
      </w:r>
      <w:r>
        <w:rPr>
          <w:rFonts w:ascii="微软雅黑" w:hAnsi="微软雅黑" w:eastAsia="微软雅黑"/>
          <w:b w:val="0"/>
          <w:sz w:val="21"/>
        </w:rPr>
        <w:t>按周期归集调用明细生成，关联机构ID、服务ID、周期、调用ID列表。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/>
          <w:color w:val="0F4C81"/>
          <w:sz w:val="21"/>
        </w:rPr>
        <w:t>评价ID（evaluation_id）：</w:t>
      </w:r>
      <w:r>
        <w:rPr>
          <w:rFonts w:ascii="微软雅黑" w:hAnsi="微软雅黑" w:eastAsia="微软雅黑"/>
          <w:b w:val="0"/>
          <w:sz w:val="21"/>
        </w:rPr>
        <w:t>机构用户提交评价后生成，关联订阅ID与服务ID。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/>
          <w:color w:val="0F4C81"/>
          <w:sz w:val="21"/>
        </w:rPr>
        <w:t>审计ID（audit_id）：</w:t>
      </w:r>
      <w:r>
        <w:rPr>
          <w:rFonts w:ascii="微软雅黑" w:hAnsi="微软雅黑" w:eastAsia="微软雅黑"/>
          <w:b w:val="0"/>
          <w:sz w:val="21"/>
        </w:rPr>
        <w:t>关键行为留痕，关联操作人、操作对象、操作类型。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流转关系：上架申请单 → 服务ID+版本ID → 订阅申请单 → 订阅ID+配额ID → 调用权限申请 → 权限ID → 服务调用 → 调用ID → 周期账单 → 账单ID → 异常对账/评价/审计。任一环节均可向上向下追溯。</w:t>
      </w:r>
    </w:p>
    <w:p>
      <w:r>
        <w:br w:type="page"/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4C81"/>
          <w:sz w:val="32"/>
        </w:rPr>
        <w:t>4  功能详述——前台门户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4.1 门户首页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面向所有访客与登录用户，作为平台统一对外展示与入口引导窗口。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4.1.1 平台介绍展示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集中展示平台定位、核心能力、服务范围、建设成效、各方主体等基本信息。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支持内容动态更新（运营在后台维护，无需开发介入）。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4.1.2 公告动态发布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发布平台通知、政策更新、模型上下架、系统维护、试点进展等管理公告。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按类型分类管理：普通通知 / 政策更新 / 紧急公告 / 试点进展 / 上下架通知。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关键管理事项按业务节点及时触达相关主体（站内信+邮件/短信）。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【新增】公告详情页：支持富文本、附件、置顶、已读未读统计。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4.1.3 快捷入口导航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提供AI服务市场、机构工作台、开发者中心、运营管理后台等业务门户统一入口。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按用户角色智能推荐常用功能（登录后展示）。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【新增】未登录用户展示 申请入驻 和 进入服务市场 两个主入口。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4.1.4 开发者入驻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供给主体（AI企业、科研机构、医疗机构自研团队）注册入口。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提交企业资质、医疗器械注册证或备案凭证、算法备案等材料。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资质核验通过后获得平台接入资格。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【新增】资质到期自动提醒续证（提前30/15/7天三级提醒）。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【新增】入驻进度查询：提交→初审→复审→通过/驳回，全流程可视。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4.1.5 全站搜索【新增】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支持按关键词搜索服务、开发者、公告、数据资源、知识、工具。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搜索结果按类型分组展示，支持二次筛选与排序。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4.1.6 个人中心【新增】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个人信息维护、密码修改、绑定手机/邮箱。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我的消息、我的待办、我的申请、我的订阅（按角色展示）。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登录历史、操作记录查询。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4.2 AI服务市场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平台服务货架，集中展示经统一评审准入后上架的AI模型与智能体，面向机构用户和开发者提供市场化服务能力。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4.2.1 服务分类浏览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按五类分类、应用场景、服务对象、开发者等维度组织已上架AI服务的统一展示。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不同类别适用差异化的准入管控要求和词元计量规则（卡片上以标签提示）。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提供最热/最新服务榜单。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4.2.2 服务检索匹配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支持按关键词、供给方、能力类型、适用场景、风险等级等条件组合检索。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检索结果支持多维度排序（热度、上线时间、评分等）。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【新增】支持保存常用筛选组合为 我的视图。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4.2.3 服务详情展示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形成完整服务档案视图，支撑服务适配性判断和选购决策。包含以下字段：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17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字段分组</w:t>
            </w:r>
          </w:p>
        </w:tc>
        <w:tc>
          <w:tcPr>
            <w:tcW w:type="dxa" w:w="3685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551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基础信息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服务名称/简介/图标/分类/风险等级/开发者/上架时间/当前版本</w:t>
            </w:r>
          </w:p>
        </w:tc>
        <w:tc>
          <w:tcPr>
            <w:tcW w:type="dxa" w:w="255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能力说明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能力描述/适用场景/能力边界/输入输出要求/示例</w:t>
            </w:r>
          </w:p>
        </w:tc>
        <w:tc>
          <w:tcPr>
            <w:tcW w:type="dxa" w:w="255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计量规则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计量方式（Token/例次/调用次数）/计费规则版本/单价/试用额度</w:t>
            </w:r>
          </w:p>
        </w:tc>
        <w:tc>
          <w:tcPr>
            <w:tcW w:type="dxa" w:w="255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【补全】v0.1缺失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资质依据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医疗器械注册证/算法备案/测试报告/合作材料</w:t>
            </w:r>
          </w:p>
        </w:tc>
        <w:tc>
          <w:tcPr>
            <w:tcW w:type="dxa" w:w="255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试点案例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试点医院/试点场景/试点成效/案例说明</w:t>
            </w:r>
          </w:p>
        </w:tc>
        <w:tc>
          <w:tcPr>
            <w:tcW w:type="dxa" w:w="255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【补全】v0.1缺失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评价评分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综合评分/分项评分/评价列表/好评率</w:t>
            </w:r>
          </w:p>
        </w:tc>
        <w:tc>
          <w:tcPr>
            <w:tcW w:type="dxa" w:w="255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【补全】v0.1缺失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相关推荐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同类服务/同场景服务/同开发者服务</w:t>
            </w:r>
          </w:p>
        </w:tc>
        <w:tc>
          <w:tcPr>
            <w:tcW w:type="dxa" w:w="255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【补全】v0.1缺失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订阅入口</w:t>
            </w:r>
          </w:p>
        </w:tc>
        <w:tc>
          <w:tcPr>
            <w:tcW w:type="dxa" w:w="368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订阅申请按钮/试用申请按钮/联系开发者</w:t>
            </w:r>
          </w:p>
        </w:tc>
        <w:tc>
          <w:tcPr>
            <w:tcW w:type="dxa" w:w="2551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【补全】订阅流程入口</w:t>
            </w:r>
          </w:p>
        </w:tc>
      </w:tr>
    </w:tbl>
    <w:p>
      <w:pPr>
        <w:spacing w:after="40"/>
      </w:pP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4.2.4 服务订阅申请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机构用户在AI服务市场对所需AI服务发起订阅申请。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申请单字段：订阅服务、院内使用范围、使用主体、额度预算、预期场景、预算来源（信息化经费/科室专项/科研经费）、有效期。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【新增】订阅申请单状态机：草稿 → 已提交 → 平台运营初审 → 平台审核复审 → 通过/驳回 → 生效/失败。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【新增】审批通过后生成订阅ID与配额ID，机构可在工作台查看。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【新增】订阅试用：低风险服务支持7天免费试用，试用期内词元额度独立。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4.3 机构工作台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面向医疗机构信息管理员，提供机构侧AI服务闭环管理能力。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4.3.1 服务订阅管理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集中查看本机构已订阅的AI服务清单、订阅状态、有效期、使用范围。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支持续订、退订申请。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【新增】退订流程：退订申请 → 剩余词元结算（按规则退还/不退还） → 平台审核 → 生效。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订阅过程对接机构信息化经费、科室专项经费等预算来源。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4.3.2 用量配额管理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对本机构订阅的AI服务进行词元额度分配、调整和管控。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支持按科室、项目、场景、时间段等维度分配额度。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配额规则与院内用户授权联动；超配额使用纳入预警和拦截。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【新增】配额调整操作需二级审批（科室负责人+机构信息管理员）。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【新增】配额预警阈值可配置（默认80%预警、95%拦截、100%冻结）。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4.3.3 模型调用权限申请【补全】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v0.1缺失此页面，v0.2补全。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机构针对已订阅AI服务，为院内具体使用主体（科室、人员、系统）申请模型调用权限。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申请字段：订阅服务、调用主体（科室/人员/系统）、调用范围、使用场景、额度约束、有效期。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权限申请经审核后生效，生成调用权限ID。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支持权限回收、权限变更、权限续期。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4.3.4 费用结算查询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查看本机构词元消耗明细、周期费用账单和对账记录。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支持按周期、服务、科室、项目等维度查询和核对。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【新增】异常消耗可发起核验申请，关联平台异常对账工单。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【新增】账单导出（PDF/Excel），含水印与追溯信息。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4.3.5 服务评价反馈【补全】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v0.1缺失此页面，v0.2补全。评价数据作为平台服务质量评价的来源。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机构用户针对已订阅AI服务的使用体验、响应准确性、稳定性和业务适配性进行评价。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评价字段：综合评分（1-5星）+ 分项评分（准确性/稳定性/时效性/适配性）+ 文字评价 + 截图附件。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评价状态：待评价 / 已评价 / 已回复。开发者可对评价进行回复。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评价纳入平台服务质量评价体系，作为服务续用、整改或下架的参考依据。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4.3.6 院内用户管理【新增】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管理机构内使用AI服务的科室、人员账号。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支持院内用户的调用权限分配、额度分配、使用记录查询。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对接院内HIS/HRP系统的人员组织数据（接口对接）。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4.4 开发者中心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面向已注册的AI产品供给方，提供一站式供给侧管理能力。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4.4.1 上架申请管理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引导开发者按统一口径提交服务说明、适用场景、能力边界、输入输出要求、测试材料、计量建议和部署要求等。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形成完整上架申报档案。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【新增】上架申请单与平台准入审核双向同步，开发者可查看审核进度与各环节意见。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审核通过后完成服务发布；上架状态变更同步至AI服务市场前端展示。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4.4.2 测试协同管理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开发者配合平台开展技术安全测评和临床场景落地验收。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提交测试数据、测试环境和配合人员等资源。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测试过程和结果在开发者中心统一查看，测试发现的问题纳入整改闭环。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【新增】测试任务状态：待提交 → 测试中 → 测试通过/不通过 → 整改 → 复测。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4.4.3 版本迭代管理【补全】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v0.1缺失此页面，v0.2补全。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已上架服务的版本更新、能力变更和模型迭代纳入统一管理。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开发者提交版本变更说明和变更影响评估。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【新增】版本迭代按风险等级决定是否触发复审：</w:t>
      </w:r>
    </w:p>
    <w:p>
      <w:pPr>
        <w:pStyle w:val="ListBullet"/>
        <w:spacing w:line="348" w:lineRule="auto" w:after="40"/>
        <w:ind w:left="839"/>
      </w:pPr>
      <w:r>
        <w:rPr>
          <w:rFonts w:ascii="微软雅黑" w:hAnsi="微软雅黑" w:eastAsia="微软雅黑"/>
          <w:b w:val="0"/>
          <w:sz w:val="21"/>
        </w:rPr>
        <w:t xml:space="preserve">  - 低风险变更（UI/文案/性能优化）：仅备案，无需复审。</w:t>
      </w:r>
    </w:p>
    <w:p>
      <w:pPr>
        <w:pStyle w:val="ListBullet"/>
        <w:spacing w:line="348" w:lineRule="auto" w:after="40"/>
        <w:ind w:left="839"/>
      </w:pPr>
      <w:r>
        <w:rPr>
          <w:rFonts w:ascii="微软雅黑" w:hAnsi="微软雅黑" w:eastAsia="微软雅黑"/>
          <w:b w:val="0"/>
          <w:sz w:val="21"/>
        </w:rPr>
        <w:t xml:space="preserve">  - 中风险变更（参数调整/能力扩展）：触发简化复审。</w:t>
      </w:r>
    </w:p>
    <w:p>
      <w:pPr>
        <w:pStyle w:val="ListBullet"/>
        <w:spacing w:line="348" w:lineRule="auto" w:after="40"/>
        <w:ind w:left="839"/>
      </w:pPr>
      <w:r>
        <w:rPr>
          <w:rFonts w:ascii="微软雅黑" w:hAnsi="微软雅黑" w:eastAsia="微软雅黑"/>
          <w:b w:val="0"/>
          <w:sz w:val="21"/>
        </w:rPr>
        <w:t xml:space="preserve">  - 高风险变更（模型重训/核心算法变更/数据集变更）：触发全流程复审。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【新增】版本灰度发布：支持按机构/试点范围灰度，灰度期结束自动全量。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【新增】版本回滚：发现严重问题可一键回滚至上一稳定版本。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4.4.4 收益对账查询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查看开发者所提供服务的调用词元消耗、收益分成、结算记录和到账情况。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依据服务调用词元消耗获取对应收益。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收益分配规则透明可查；对账结果可导出用于企业内部核算。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【新增】收益争议申诉：开发者对账单有异议可发起申诉，进入平台运营处置流程。</w:t>
      </w:r>
    </w:p>
    <w:p>
      <w:r>
        <w:br w:type="page"/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4C81"/>
          <w:sz w:val="32"/>
        </w:rPr>
        <w:t>5  功能详述——管理中心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5.1 模型编目管理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5.1.1 模型分类管理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围绕基础大模型、专用模型、智能体等服务形态，形成统一的AI服务分类管理体系。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覆盖服务来源、应用场景、服务对象、成熟程度和准入状态等管理口径。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五类分类适用差异化的准入管控要求和词元计量规则。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5.1.2 模型信息管理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以模型和智能体服务业务档案为基础，完整记录服务名称、供给单位、适用场景、能力边界、输入输出要求、使用条件和责任主体等信息。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5.1.3 资质材料管理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服务准入所需的证照、备案、测试报告、合作材料等实行集中归集和核验。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对临床辅助、疾病筛查、处方审核等敏感场景服务，形成上线前资质核验、合规判断和风险识别依据。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【新增】资质到期管理：到期前30/15/7天三级提醒，到期未续证自动下架。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5.2 资产总览管理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形成全省AI服务资源底账，将模型、智能体、数据资源、知识资源和平台工具等统一纳入可视化管理范围。v0.1仅有三类资源子页，v0.2补全总览与关联视图。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5.2.1 资产总览首页【新增】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三个Tab：资产台账 / 资产分类总览 / 资产使用概览。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资产台账：列出全部资产（模型/智能体/数据/知识/工具），记录资源来源、建设主体、服务对象、可用状态。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资产分类总览：按地区、机构、场景、供给主体、运行状态等维度组织分布视图。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资产使用概览：调用频次、覆盖机构、活跃用户、词元消耗、服务热度综合分析，识别高价值/低效/重复资源。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5.2.2 数据资源 / 知识体系 / 平台工具（保持）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v0.1已有的三类资源子页保留，作为资产总览的下钻视图。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【新增】每个资源详情页增加 被以下服务使用 区块，展示资产-服务关联。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5.2.3 资产-服务关联视图【新增】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以模型/智能体为中心，展示其依赖的数据资源、知识体系、平台工具。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以资产为中心，展示使用该资产的所有服务。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支撑资源复用决策、重复建设识别、影响范围评估。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5.3 词元计费管理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v0.1将所有子功能混在BillingDashboardPage单页，v0.2拆分为独立子页并补全规则版本化管理。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5.3.1 计费总览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KPI卡片：当前词元总余量、本月已消耗、环比变化、可用服务数量。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【新增】KPI数据来源说明：明确每个指标的统计口径、数据源、刷新频率。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月度趋势、用量分布、预警记录、实时计费等图表保留。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5.3.2 计费规则管理（版本化）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三方面差异化能力：分品类差异化计量 / 多主体灵活付费 / 多方分润闭环。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【新增】规则版本管理：每个规则有版本号、生效时间、失效时间、状态（草稿/生效/停用）。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【新增】规则变更需审批：草稿 → 提交 → 审核 → 生效。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【新增】规则与调用明细绑定：每次调用记录使用的规则版本号，便于对账追溯。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【新增】规则回滚：发现规则错误可一键回滚至上一版本。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5.3.3 额度配置管理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按地区、机构、项目、服务和场景分配词元额度。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明确服务使用主体、使用范围、可用额度和有效期限。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【新增】机构侧配额与平台侧额度配置数据通过事件总线同步，两侧展示一致。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【新增】额度调整审批流：发起 → 审核 → 生效，全程留痕。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5.3.4 消耗监测管理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词元余额变化、阶段消耗、重点服务消耗占比和异常集中调用等情况纳入跟踪监测。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【新增】监测告警：余额低于阈值、消耗突增、异常集中调用等触发告警，进入告警工单。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【新增】消耗预测：基于历史数据预测剩余可用天数，提前预警。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5.3.5 词元包管理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普惠包 / 标准包 / 医联体包 / 城市级包等套餐管理。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【新增】词元包与机构订阅/配额的关系明确：购买词元包 → 充入机构总账户 → 按配额分配。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【新增】词元包到期处理：到期未用完按规则处理（退还/清零/续期）。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5.4 对账查询管理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贯通调用明细、周期账单、异常对账和结果输出。v0.1仅展示，v0.2补全处置流程。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5.4.1 调用明细查询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记录调用时间、调用主体、服务名称、词元消耗、处理状态和异常信息。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【新增】调用明细绑定计费规则版本号，便于按规则版本筛选与核对。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支撑问题核查、服务评估和责任追溯。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5.4.2 周期账单管理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按周期归集词元消耗情况，形成地区、机构、项目和服务维度的使用账单。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【新增】账单状态机：生成 → 待确认 → 已确认 → 已结算 → 已归档。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【新增】机构可在工作台对账单发起异议，进入异常对账流程。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5.4.3 异常对账管理（含处置）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识别范围：重复调用、异常高频调用、超授权使用、失败扣费、跨机构异常使用等。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【新增】异常处置状态机：识别 → 待核验 → 核验中 → 待处置 → 已处置 → 已归档。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【新增】处置动作：退费、补扣、追责、转审计。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【新增】处置需审批，处置结果同步至机构与开发者。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5.4.4 对账结果导出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面向内部管理、运营核对、绩效评价和审计留痕需要，提供机构、服务、项目和明细层面的统计结果输出。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输出内容保留统计口径、生成时间和必要的追溯信息。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【新增】导出操作纳入安全审计，导出文件含水印（操作人+时间）与追溯信息。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【新增】导出权限分级：明细级仅平台管理员可导出，机构/服务级运营可导出。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5.5 运营管理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5.5.1 服务准入管理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三级差异化审核：高风险（资质核验+技术测评+临床验收）/ 中风险（资质核验+简化技术测试）/ 低风险（备案上架）。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【新增】准入审核工作台：待办列表、审核意见、审核记录、退回补正。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【新增】准入审核与开发者上架申请双向同步，状态机一致。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5.5.2 上架下架管理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服务上架、暂停、恢复和退出实行统一管理。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明确服务可用范围、适用机构、状态调整原因和处理依据。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对资质到期、质量下降或存在安全风险的服务，形成及时处置和退出机制。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【新增】下架流程：发起 → 审核 → 公告 → 生效；下架后已订阅机构收到通知与处置方案。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5.5.3 运行监测管理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综合反映接入机构、上架服务、调用总量、活跃用户、调用趋势和异常预警等情况。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【新增】监测大屏支持下钻：从总体指标 → 机构/服务 → 单次调用明细。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【新增】告警工单：异常告警自动生成工单，分配处置人，跟踪闭环。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【新增】告警规则配置：阈值、触发条件、通知方式、升级策略。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5.5.4 质量评价管理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AI服务质量评价以准确性、稳定性、响应时效、用户反馈、投诉情况和合规记录等指标为基础。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评价结果作为服务推广、额度调整、续用评估和退出管理的重要依据。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【新增】评价指标库：维护指标定义、计算口径、数据源、权重。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【新增】评价方案管理：按服务类型配置评价方案（指标组合+权重+周期）。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【新增】评价结果明细：服务级、机构级、周期级评价结果与趋势。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5.5.5 安全审计管理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关键业务行为纳入审计管理：服务调用、权限变更、材料审核、额度调整、账单确认等。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涉及敏感数据、重要服务和高风险操作的事项纳入重点审计范围。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【新增】审计规则配置：定义审计事件、关键字段、风险等级。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【新增】审计告警：异常操作（如夜间批量导出、越权尝试）触发告警。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【新增】审计日志不可篡改：采用追加写+签名链，支持司法取证。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5.6 运营分析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独立于运营管理，聚焦数据分析。v0.1三个分析维度在一个页面，v0.2支持各自下钻。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5.6.1 服务热度分析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基于调用次数、覆盖机构、活跃用户、试用转化和词元消耗等指标，形成服务使用热度分析。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【新增】支持下钻：服务热度总览 → 单服务热度详情 → 单机构调用明细。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【新增】热度趋势对比：支持与上一周期、同类服务对比。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5.6.2 服务质量分析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基于服务质量评价结果，对AI服务准确性、稳定性、响应时效、用户反馈和合规记录等指标进行综合分析。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识别优质服务、问题服务和需整改服务。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【新增】质量趋势分析：服务质量随时间变化趋势，识别恶化服务。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【新增】质量与热度交叉分析：识别 高热度低质量 服务，优先整改。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5.6.3 场景应用分析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医保监管、基金管理、临床辅助、疾病筛查、健康服务、科研支撑等领域的AI应用热度和实际需求纳入场景分析。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分析结果可作为试点布局、资源投入和场景拓展参考。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【新增】场景地图：按地区+场景展示AI应用覆盖情况，识别薄弱场景。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【新增】场景供需匹配：对比场景需求与可用服务，识别缺口。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5.7 开发者管理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5.7.1 资质审核管理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开发者资质、产品合规情况、技术能力、数据安全能力和运维保障能力纳入核验范围。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涉及医疗器械、算法备案、个人信息处理等要求的开发者，形成审核记录和到期提醒。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【新增】资质到期管理：到期前30/15/7天提醒，到期未续证开发者所提供服务自动暂停。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5.7.2 整改跟踪管理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对测试评估、合规审核和运行监测中发现的问题，统一纳入整改闭环管理。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向开发者下达整改要求、责任主体、整改期限并跟踪复核结果。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整改情况作为服务上架、续用、暂停合作或清退下线决策的重要依据。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【新增】整改工单状态机：下达 → 待整改 → 整改中 → 待复核 → 复核通过/不通过 → 关闭/升级。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【新增】整改超期升级：超期未整改自动升级处置（暂停服务/清退）。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5.8 用户与权限管理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5.8.1 机构用户管理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医保部门、医疗机构、运营单位和供给单位等不同主体纳入机构用户管理。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明确机构属性、业务范围、接入状态和服务授权。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5.8.2 角色权限管理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构建与医保管理职责相匹配的角色权限体系。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区分管理、审核、运营、机构管理、服务使用和开发者等不同权限边界。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防止越权查看、越权审核和越权配置。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【新增】按3.3权限矩阵实现菜单/按钮/数据三级权限控制。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【新增】敏感操作二次确认：导出、下架、删除、额度调整等需二次确认+留痕。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5.8.3 服务授权管理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服务授权机制覆盖机构、角色、用户、项目和场景，并与词元额度、使用范围和有效期限联动。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试点城市、试点医院和专项项目可形成独立授权策略。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5.8.4 用户行为留痕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用户登录、查询、申请、审核、调用、导出和配置等关键行为纳入留痕管理。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额度调整、账单确认、服务下架等重要操作应可追溯到具体责任主体。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5.9 试点与多主体协同管理【新增模块】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v0.1未实现，v0.2新增。针对PRD 1.2 多主体协同管理 与多次提到的试点场景。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5.9.1 试点项目管理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试点项目定义：试点城市、试点医院、专项项目作为独立授权与计量单元。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试点字段：试点名称、试点类型、试点范围（城市/医院/项目）、试点周期、试点政策、独立额度、独立计量规则、成效评估方案。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试点状态：筹备 → 启动 → 进行中 → 评估 → 结项 / 推广。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试点成效评估：调用情况、覆盖机构、用户反馈、临床/管理成效、成本效益。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5.9.2 多主体接入边界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明确各类主体（医保部门、医疗机构、运营单位、AI企业、科研机构、医院自研团队）的接入边界。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主体字段：主体类型、主体名称、接入角色、可访问模块、数据可见范围、操作权限。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【新增】主体协同视图：以服务/项目为中心，展示涉及的多主体与协作关系。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5.9.3 协同授权与责任留痕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多主体协同场景下的授权规则：主责主体、配合主体、数据共享范围、操作权限。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协同操作留痕：每个操作记录主体、角色、时间、对象，支持多主体追溯。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5.10 系统管理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基础支撑能力，不作为日常业务办理主线模块。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5.10.1 基础参数配置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统一维护平台运行所需的字典、分类、状态、预警阈值、计量参数和通知规则等基础信息。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5.10.2 接口与集成配置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维护平台与统一身份认证、医保业务系统、数据资源平台、运营服务系统和消息平台等外部系统的基础连接关系。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【新增】接口健康检查：定时探活，异常告警。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【新增】接口调用统计：调用量、成功率、平均时延。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5.10.3 API开放平台【新增】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面向开发者提供API开放能力：API文档、API Key管理、调用统计、限流配置。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API Key管理：申请、续期、撤销、权限范围（按服务/按机构）。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调用统计：调用量、成功率、平均时延、错误分布。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限流配置：按Key/按服务/按机构配置QPS与日配额。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5.10.4 系统日志管理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对登录、配置变更、接口调用、异常告警、数据导出等系统级行为进行记录。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为平台运行维护、安全审计和问题排查提供基础依据。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135FAE"/>
          <w:sz w:val="25"/>
        </w:rPr>
        <w:t>5.10.5 数据安全配置【新增】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敏感数据识别：标记患者数据、医保数据等敏感字段。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数据脱敏规则：按角色配置脱敏策略（如手机号中间四位脱敏）。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数据加密：传输加密（HTTPS）、存储加密（敏感字段加密）。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权限隔离：按机构/试点项目隔离数据访问范围。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数据导出审批：敏感数据导出需审批+留痕。</w:t>
      </w:r>
    </w:p>
    <w:p>
      <w:r>
        <w:br w:type="page"/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4C81"/>
          <w:sz w:val="32"/>
        </w:rPr>
        <w:t>6  非功能性要求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6.1 性能要求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5669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页面首屏加载</w:t>
            </w:r>
          </w:p>
        </w:tc>
        <w:tc>
          <w:tcPr>
            <w:tcW w:type="dxa" w:w="5669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≤ 2秒（常规网络环境）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列表查询响应</w:t>
            </w:r>
          </w:p>
        </w:tc>
        <w:tc>
          <w:tcPr>
            <w:tcW w:type="dxa" w:w="5669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≤ 1秒（10万级数据量）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大屏数据刷新</w:t>
            </w:r>
          </w:p>
        </w:tc>
        <w:tc>
          <w:tcPr>
            <w:tcW w:type="dxa" w:w="5669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≤ 5秒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AI服务调用计量</w:t>
            </w:r>
          </w:p>
        </w:tc>
        <w:tc>
          <w:tcPr>
            <w:tcW w:type="dxa" w:w="5669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实时扣减，延迟 ≤ 1秒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并发用户数</w:t>
            </w:r>
          </w:p>
        </w:tc>
        <w:tc>
          <w:tcPr>
            <w:tcW w:type="dxa" w:w="5669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 1000 同时在线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日调用处理能力</w:t>
            </w:r>
          </w:p>
        </w:tc>
        <w:tc>
          <w:tcPr>
            <w:tcW w:type="dxa" w:w="5669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 1000万次</w:t>
            </w:r>
          </w:p>
        </w:tc>
      </w:tr>
    </w:tbl>
    <w:p>
      <w:pPr>
        <w:spacing w:after="40"/>
      </w:pP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6.2 可用性要求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系统可用性 ≥ 99.9%（年宕机 ≤ 8.76小时）。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支持7×24小时运行，计划维护需提前公告。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核心模块（计费、对账、调用）支持故障转移，单点故障不影响整体。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6.3 安全要求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通过等保三级测评。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敏感数据传输加密（TLS 1.2+），存储加密（AES-256）。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审计日志不可篡改，保留 ≥ 6个月。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权限控制遵循最小权限原则，敏感操作二次确认。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对接统一身份认证，支持SSO/OAuth。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6.4 兼容性要求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浏览器：Chrome 100+ / Edge 100+ / Firefox 100+。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分辨率：≥ 1280×720，推荐 1920×1080。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移动端：响应式适配（机构工作台、门户首页优先）。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6.5 可维护性要求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前后端分离，接口规范统一（RESTful + OpenAPI 3.0）。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配置项与代码分离，运维可调整阈值与规则。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日志规范统一，支持日志检索与告警。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6.6 可扩展性要求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微服务架构，模块可独立部署与扩展。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计费规则、评价方案、审计规则等支持热配置。</w:t>
      </w:r>
    </w:p>
    <w:p>
      <w:pPr>
        <w:pStyle w:val="ListBullet"/>
        <w:spacing w:line="348" w:lineRule="auto" w:after="40"/>
        <w:ind w:left="420"/>
      </w:pPr>
      <w:r>
        <w:rPr>
          <w:rFonts w:ascii="微软雅黑" w:hAnsi="微软雅黑" w:eastAsia="微软雅黑"/>
          <w:b w:val="0"/>
          <w:sz w:val="21"/>
        </w:rPr>
        <w:t>支持横向扩展，应对试点推广后的用户增长。</w:t>
      </w:r>
    </w:p>
    <w:p>
      <w:r>
        <w:br w:type="page"/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4C81"/>
          <w:sz w:val="32"/>
        </w:rPr>
        <w:t>7  端到端业务流程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本章描述平台核心端到端业务流程，作为各模块协同的验证视图。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7.1 服务从上架到退出的全生命周期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流程：开发者上架申请 → 平台准入审核（三级差异化） → 测试协同 → 上架发布 → 机构订阅 → 配额分配 → 调用权限申请 → 服务调用 → 词元计量 → 周期对账 → 质量评价 → 版本迭代/下架退出。</w:t>
      </w:r>
    </w:p>
    <w:p>
      <w:pPr>
        <w:spacing w:before="80" w:after="120" w:line="336" w:lineRule="auto"/>
        <w:ind w:left="113" w:right="113"/>
        <w:shd w:val="clear" w:fill="DCEBFC"/>
        <w:pBdr>
          <w:top w:val="single" w:sz="4" w:space="4" w:color="E5E7EB"/>
          <w:bottom w:val="single" w:sz="4" w:space="4" w:color="E5E7EB"/>
          <w:right w:val="single" w:sz="4" w:space="4" w:color="E5E7EB"/>
          <w:left w:val="single" w:sz="24" w:space="4" w:color="3B82F6"/>
        </w:pBdr>
      </w:pPr>
      <w:r>
        <w:rPr>
          <w:rFonts w:ascii="微软雅黑" w:hAnsi="微软雅黑" w:eastAsia="微软雅黑"/>
          <w:b w:val="0"/>
          <w:color w:val="3C3C3C"/>
          <w:sz w:val="20"/>
        </w:rPr>
        <w:t>关键节点：① 上架申请单通过后生成服务ID与版本ID；② 订阅通过后生成订阅ID与配额ID；③ 调用权限申请通过后生成权限ID；④ 每次调用生成调用ID并绑定计费规则版本；⑤ 周期账单归集调用明细生成账单ID；⑥ 评价与质量评价数据回流至服务档案。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7.2 词元计量计费闭环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流程：计费规则制定（版本化） → 额度配置 → 词元包购买/分配 → 服务调用实时扣减 → 调用明细记录 → 周期账单生成 → 机构确认 → 异常对账处置 → 收益分成结算。</w:t>
      </w:r>
    </w:p>
    <w:p>
      <w:pPr>
        <w:spacing w:before="80" w:after="120" w:line="336" w:lineRule="auto"/>
        <w:ind w:left="113" w:right="113"/>
        <w:shd w:val="clear" w:fill="FEF3C7"/>
        <w:pBdr>
          <w:top w:val="single" w:sz="4" w:space="4" w:color="E5E7EB"/>
          <w:bottom w:val="single" w:sz="4" w:space="4" w:color="E5E7EB"/>
          <w:right w:val="single" w:sz="4" w:space="4" w:color="E5E7EB"/>
          <w:left w:val="single" w:sz="24" w:space="4" w:color="F59E0B"/>
        </w:pBdr>
      </w:pPr>
      <w:r>
        <w:rPr>
          <w:rFonts w:ascii="微软雅黑" w:hAnsi="微软雅黑" w:eastAsia="微软雅黑"/>
          <w:b w:val="0"/>
          <w:color w:val="3C3C3C"/>
          <w:sz w:val="20"/>
        </w:rPr>
        <w:t>改进点③：v0.1计费规则无版本管理，导致账单与规则口径不一致风险。v0.2通过规则版本号绑定调用明细与账单，确保对账可追溯。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7.3 机构订阅与使用闭环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流程：机构在服务市场浏览 → 提交订阅申请 → 平台审核 → 订阅生效 → 机构分配院内配额 → 院内用户申请调用权限 → 院内用户调用服务 → 费用结算查询 → 服务评价反馈。</w:t>
      </w:r>
    </w:p>
    <w:p>
      <w:pPr>
        <w:spacing w:before="80" w:after="120" w:line="336" w:lineRule="auto"/>
        <w:ind w:left="113" w:right="113"/>
        <w:shd w:val="clear" w:fill="FEF3C7"/>
        <w:pBdr>
          <w:top w:val="single" w:sz="4" w:space="4" w:color="E5E7EB"/>
          <w:bottom w:val="single" w:sz="4" w:space="4" w:color="E5E7EB"/>
          <w:right w:val="single" w:sz="4" w:space="4" w:color="E5E7EB"/>
          <w:left w:val="single" w:sz="24" w:space="4" w:color="F59E0B"/>
        </w:pBdr>
      </w:pPr>
      <w:r>
        <w:rPr>
          <w:rFonts w:ascii="微软雅黑" w:hAnsi="微软雅黑" w:eastAsia="微软雅黑"/>
          <w:b w:val="0"/>
          <w:color w:val="3C3C3C"/>
          <w:sz w:val="20"/>
        </w:rPr>
        <w:t>改进点④：v0.1机构工作台缺少 调用权限申请 和 评价反馈，导致机构侧闭环断裂。v0.2补全这两个页面，闭环完整。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7.4 异常处置闭环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流程：异常识别（监测/对账） → 异常工单生成 → 待核验 → 核验中 → 待处置 → 处置（退费/补扣/追责/转审计） → 已处置 → 归档。</w:t>
      </w:r>
    </w:p>
    <w:p>
      <w:pPr>
        <w:spacing w:before="80" w:after="120" w:line="336" w:lineRule="auto"/>
        <w:ind w:left="113" w:right="113"/>
        <w:shd w:val="clear" w:fill="FEF3C7"/>
        <w:pBdr>
          <w:top w:val="single" w:sz="4" w:space="4" w:color="E5E7EB"/>
          <w:bottom w:val="single" w:sz="4" w:space="4" w:color="E5E7EB"/>
          <w:right w:val="single" w:sz="4" w:space="4" w:color="E5E7EB"/>
          <w:left w:val="single" w:sz="24" w:space="4" w:color="F59E0B"/>
        </w:pBdr>
      </w:pPr>
      <w:r>
        <w:rPr>
          <w:rFonts w:ascii="微软雅黑" w:hAnsi="微软雅黑" w:eastAsia="微软雅黑"/>
          <w:b w:val="0"/>
          <w:color w:val="3C3C3C"/>
          <w:sz w:val="20"/>
        </w:rPr>
        <w:t>改进点⑤：v0.1异常对账仅识别不处置。v0.2新增完整处置流程与状态机，并支持与安全审计联动。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7.5 试点项目闭环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流程：试点项目立项 → 独立授权 → 独立计量规则 → 试点进行 → 试点数据采集 → 成效评估 → 结项/推广决策。</w:t>
      </w:r>
    </w:p>
    <w:p>
      <w:r>
        <w:br w:type="page"/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4C81"/>
          <w:sz w:val="32"/>
        </w:rPr>
        <w:t>8  遗留问题与待确认事项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本章列出本文档尚未明确、需在需求梳理工具中进一步讨论确认的事项。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850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402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遗留问题</w:t>
            </w:r>
          </w:p>
        </w:tc>
        <w:tc>
          <w:tcPr>
            <w:tcW w:type="dxa" w:w="3402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建议处理方向</w:t>
            </w:r>
          </w:p>
        </w:tc>
        <w:tc>
          <w:tcPr>
            <w:tcW w:type="dxa" w:w="850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Q-01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医保监管角色的具体职责边界与可访问数据范围未明确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与医保局业务方访谈确认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Q-02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词元与人民币的换算规则、结算周期未明确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与财务方确认，区分财政统购/套餐预购/专项经费等场景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Q-03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试点项目的独立计量规则与全省统一规则的关系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建议试点项目可覆盖全省规则，但需独立账本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Q-04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多主体数据共享的合规要求（特别是患者数据）未明确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与法务/合规方确认，参考《个人信息保护法》《数据安全法》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Q-05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开发者收益分成的具体比例与结算周期未明确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与运营方确认，按服务类型差异化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Q-06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服务下架后已订阅机构的处置方案未明确（是否退款/如何迁移）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建议分强制下架与主动下架，差异化处置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Q-07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API开放平台对外提供的接口范围与计费方式未明确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建议先内部使用，试点稳定后对外开放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Q-08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数据资源/知识体系/平台工具的纳管深度（仅元数据 vs 含实体）未明确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建议一期仅纳管元数据与访问入口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Q-09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机构工作台是否需要对接院内HIS/HRP系统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建议一期通过Excel导入/手工维护，二期对接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Q-10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移动端适配范围（仅门户/工作台/管理后台）未明确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建议一期仅门户与工作台响应式适配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Q-11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审计日志的留存周期与归档策略（6个月是否足够）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与法务确认，建议 ≥ 1年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Q-12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版本迭代的灰度发布范围与时长（按机构/按比例）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建议按机构灰度，灰度期1-2周</w:t>
            </w:r>
          </w:p>
        </w:tc>
        <w:tc>
          <w:tcPr>
            <w:tcW w:type="dxa" w:w="850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4C81"/>
          <w:sz w:val="32"/>
        </w:rPr>
        <w:t>9  附录</w:t>
      </w: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9.1 v0.1页面与v0.2需求映射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v0.1页面</w:t>
            </w:r>
          </w:p>
        </w:tc>
        <w:tc>
          <w:tcPr>
            <w:tcW w:type="dxa" w:w="2835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v0.2对应模块</w:t>
            </w:r>
          </w:p>
        </w:tc>
        <w:tc>
          <w:tcPr>
            <w:tcW w:type="dxa" w:w="2835"/>
            <w:shd w:val="clear" w:color="auto" w:fill="0F4C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v0.2状态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PortalPage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4.1 门户首页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补全公告详情、搜索、个人中心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ServiceHallPage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4.2 AI服务市场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补全服务详情字段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ServiceDetailPage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4.2.3 服务详情展示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补全计量规则、试点案例、评价、相关推荐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LoginPage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3.3 角色权限矩阵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预留SSO/OAuth接口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DeveloperOnboardingPage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4.1.4 开发者入驻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补全入驻进度查询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org/OrgWorkbenchIndexPage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4.3 机构工作台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保持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org/SubscriptionsPage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4.3.1 服务订阅管理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补全退订流程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org/QuotaPage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4.3.2 用量配额管理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补全调整审批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org/BillingQueryPage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4.3.4 费用结算查询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补全异常核验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—（缺失）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4.3.3 模型调用权限申请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—（缺失）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4.3.5 服务评价反馈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—（缺失）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4.3.6 院内用户管理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DeveloperCenterPage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4.4 开发者中心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保持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developer/ListingMgmtPage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4.4.1 上架申请管理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补全与准入审核双向同步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developer/CreateListingPage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4.4.1 上架申请管理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保持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developer/TestingPage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4.4.2 测试协同管理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补全任务状态机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—（缺失）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4.4.3 版本迭代管理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developer/RevenuePage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4.4.4 收益对账查询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补全收益争议申诉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ModelCatalogPage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5.1 模型编目管理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补全资质到期管理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DataResourcePage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5.2 资产总览管理（数据资源）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纳入资产总览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KnowledgeSystemPage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5.2 资产总览管理（知识体系）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纳入资产总览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PlatformToolsPage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5.2 资产总览管理（平台工具）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纳入资产总览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—（缺失）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5.2.1 资产总览首页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—（缺失）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5.2.3 资产-服务关联视图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BillingDashboardPage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5.3 词元计费管理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拆分子页，规则版本化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admin/reconciliation/CallDetailsPage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5.4.1 调用明细查询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绑定规则版本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admin/reconciliation/PeriodBillsPage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5.4.2 周期账单管理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补全状态机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admin/reconciliation/ExceptionsPage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5.4.3 异常对账管理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补全处置流程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admin/reconciliation/ExportPage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5.4.4 对账结果导出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补全审计与水印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admin/operations/AccessReviewPage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5.5.1 服务准入管理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补全审核工作台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admin/operations/ListingMgmtPage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5.5.2 上架下架管理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补全下架流程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admin/operations/MonitoringPage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5.5.3 运行监测管理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补全下钻与告警工单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admin/operations/QualityPage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5.5.4 质量评价管理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补全指标库与方案管理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admin/operations/AuditPage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5.5.5 安全审计管理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补全规则配置与告警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OpsAnalyticsPage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5.6 运营分析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补全下钻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DeveloperMgmtPage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5.7 开发者管理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补全资质到期与整改升级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UserMgmtPage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5.8 用户与权限管理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补全权限矩阵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—（缺失）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5.9 试点与多主体协同管理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新增模块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SettingsPage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5.10 系统管理</w:t>
            </w:r>
          </w:p>
        </w:tc>
        <w:tc>
          <w:tcPr>
            <w:tcW w:type="dxa" w:w="2835"/>
            <w:vAlign w:val="center"/>
          </w:tcPr>
          <w:p>
            <w:pPr>
              <w:spacing w:line="31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补全API开放平台与数据安全</w:t>
            </w:r>
          </w:p>
        </w:tc>
      </w:tr>
    </w:tbl>
    <w:p>
      <w:pPr>
        <w:spacing w:after="40"/>
      </w:pPr>
    </w:p>
    <w:p>
      <w:pPr>
        <w:spacing w:before="200" w:after="120" w:line="336" w:lineRule="auto"/>
      </w:pPr>
      <w:r>
        <w:rPr>
          <w:rFonts w:ascii="微软雅黑" w:hAnsi="微软雅黑" w:eastAsia="微软雅黑"/>
          <w:b/>
          <w:color w:val="0F5FAE"/>
          <w:sz w:val="28"/>
        </w:rPr>
        <w:t>9.2 文档输出说明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本文档由Claude基于v0.1 Demo源码与PRD评审反馈编制，作为需求梳理工具的输入初稿。文档中标注【新增】【补全】的条目为v0.2相对v0.1的增量。建议在需求梳理工具中按章节逐项确认、细化、补充，形成最终PRD。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