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0BC03">
      <w:pPr>
        <w:pStyle w:val="31"/>
        <w:jc w:val="center"/>
      </w:pPr>
      <w:r>
        <w:rPr>
          <w:rFonts w:ascii="Malgun Gothic" w:hAnsi="Malgun Gothic" w:eastAsia="Malgun Gothic"/>
          <w:b/>
          <w:sz w:val="32"/>
        </w:rPr>
        <w:t>10주차 산출물</w:t>
      </w:r>
    </w:p>
    <w:p w14:paraId="0BD3C449">
      <w:pPr>
        <w:jc w:val="center"/>
      </w:pPr>
      <w:r>
        <w:rPr>
          <w:rFonts w:ascii="Malgun Gothic" w:hAnsi="Malgun Gothic" w:eastAsia="Malgun Gothic"/>
          <w:b/>
          <w:sz w:val="26"/>
        </w:rPr>
        <w:t>실험계획서</w:t>
      </w:r>
    </w:p>
    <w:p w14:paraId="405C4643">
      <w:pPr>
        <w:jc w:val="center"/>
      </w:pPr>
      <w:r>
        <w:rPr>
          <w:rFonts w:ascii="Malgun Gothic" w:hAnsi="Malgun Gothic" w:eastAsia="Malgun Gothic"/>
          <w:b w:val="0"/>
          <w:sz w:val="21"/>
        </w:rPr>
        <w:t>논문 제목: 인공지능 기반 스마트 계약 프로젝트 자동화 악성 탐지 기술</w:t>
      </w:r>
      <w:r>
        <w:rPr>
          <w:rFonts w:ascii="Malgun Gothic" w:hAnsi="Malgun Gothic" w:eastAsia="Malgun Gothic"/>
          <w:b w:val="0"/>
          <w:sz w:val="21"/>
        </w:rPr>
        <w:br w:type="textWrapping"/>
      </w:r>
      <w:r>
        <w:rPr>
          <w:rFonts w:ascii="Malgun Gothic" w:hAnsi="Malgun Gothic" w:eastAsia="Malgun Gothic"/>
          <w:b w:val="0"/>
          <w:sz w:val="21"/>
        </w:rPr>
        <w:t>제출자: 천희(CHEN XI) / 50250336</w:t>
      </w:r>
    </w:p>
    <w:p w14:paraId="11AA057C">
      <w:pPr>
        <w:pStyle w:val="3"/>
      </w:pPr>
      <w:r>
        <w:rPr>
          <w:rFonts w:hint="eastAsia" w:ascii="Malgun Gothic" w:hAnsi="Malgun Gothic" w:eastAsia="宋体"/>
          <w:b/>
          <w:sz w:val="28"/>
          <w:lang w:val="en-US" w:eastAsia="zh-CN"/>
        </w:rPr>
        <w:t>1</w:t>
      </w:r>
      <w:r>
        <w:rPr>
          <w:rFonts w:ascii="Malgun Gothic" w:hAnsi="Malgun Gothic" w:eastAsia="Malgun Gothic"/>
          <w:b/>
          <w:sz w:val="28"/>
        </w:rPr>
        <w:t>. 실험계획서 개요</w:t>
      </w:r>
    </w:p>
    <w:p w14:paraId="7F120530">
      <w:pPr>
        <w:spacing w:after="120" w:line="317" w:lineRule="auto"/>
        <w:ind w:firstLine="425"/>
      </w:pPr>
      <w:r>
        <w:rPr>
          <w:rFonts w:ascii="Malgun Gothic" w:hAnsi="Malgun Gothic" w:eastAsia="Malgun Gothic"/>
          <w:b w:val="0"/>
          <w:sz w:val="21"/>
        </w:rPr>
        <w:t xml:space="preserve"> 본 연구의 AIB2PSec 프레임워크가 기존 방법과 비교하여 어떤 장점과 한계를 가지는지 검증하기 위해 실험 목적, 연구문제, 연구가설, 구현 범위, 비교군, 실험 환경, 평가 지표, 실험 절차, 표 예정안, 그림 예정안을 모두 포함하였다. 또한 블록체인 주제에 맞게 TPS, latency, gas cost, finality, security assumption을 평가 계획에 포함하였다.</w:t>
      </w:r>
    </w:p>
    <w:p w14:paraId="6D6B0E12">
      <w:pPr>
        <w:jc w:val="center"/>
      </w:pPr>
      <w:r>
        <w:rPr>
          <w:rFonts w:ascii="Malgun Gothic" w:hAnsi="Malgun Gothic" w:eastAsia="Malgun Gothic"/>
          <w:b/>
          <w:sz w:val="19"/>
        </w:rPr>
        <w:t>표10-1 과제 요구사항 충족 여부 점검표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141"/>
        <w:gridCol w:w="1582"/>
        <w:gridCol w:w="4697"/>
      </w:tblGrid>
      <w:tr w14:paraId="659FA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96" w:type="dxa"/>
            <w:shd w:val="clear" w:color="auto" w:fill="D9EAF7"/>
            <w:vAlign w:val="center"/>
          </w:tcPr>
          <w:p w14:paraId="2CF02EA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/>
                <w:sz w:val="18"/>
                <w:szCs w:val="18"/>
              </w:rPr>
              <w:t>번호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16FC2F0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/>
                <w:sz w:val="18"/>
                <w:szCs w:val="18"/>
              </w:rPr>
              <w:t>요구 항목</w:t>
            </w:r>
          </w:p>
        </w:tc>
        <w:tc>
          <w:tcPr>
            <w:tcW w:w="1582" w:type="dxa"/>
            <w:shd w:val="clear" w:color="auto" w:fill="D9EAF7"/>
            <w:vAlign w:val="center"/>
          </w:tcPr>
          <w:p w14:paraId="612F063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/>
                <w:sz w:val="18"/>
                <w:szCs w:val="18"/>
              </w:rPr>
              <w:t>반영 여부</w:t>
            </w:r>
          </w:p>
        </w:tc>
        <w:tc>
          <w:tcPr>
            <w:tcW w:w="4697" w:type="dxa"/>
            <w:shd w:val="clear" w:color="auto" w:fill="D9EAF7"/>
            <w:vAlign w:val="center"/>
          </w:tcPr>
          <w:p w14:paraId="205BAB8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/>
                <w:sz w:val="18"/>
                <w:szCs w:val="18"/>
              </w:rPr>
              <w:t>설명</w:t>
            </w:r>
          </w:p>
        </w:tc>
      </w:tr>
      <w:tr w14:paraId="73AFA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96" w:type="dxa"/>
            <w:vAlign w:val="center"/>
          </w:tcPr>
          <w:p w14:paraId="28E111E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(1)</w:t>
            </w:r>
          </w:p>
        </w:tc>
        <w:tc>
          <w:tcPr>
            <w:tcW w:w="2141" w:type="dxa"/>
            <w:vAlign w:val="center"/>
          </w:tcPr>
          <w:p w14:paraId="3463E1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실험 목적</w:t>
            </w:r>
          </w:p>
        </w:tc>
        <w:tc>
          <w:tcPr>
            <w:tcW w:w="1582" w:type="dxa"/>
            <w:vAlign w:val="center"/>
          </w:tcPr>
          <w:p w14:paraId="0FCEF2D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포함</w:t>
            </w:r>
          </w:p>
        </w:tc>
        <w:tc>
          <w:tcPr>
            <w:tcW w:w="4697" w:type="dxa"/>
            <w:vAlign w:val="center"/>
          </w:tcPr>
          <w:p w14:paraId="093195A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제안 방법의 장점과 한계 검증 목적 명시</w:t>
            </w:r>
          </w:p>
        </w:tc>
      </w:tr>
      <w:tr w14:paraId="1F03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96" w:type="dxa"/>
            <w:vAlign w:val="center"/>
          </w:tcPr>
          <w:p w14:paraId="7A09A5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(2)</w:t>
            </w:r>
          </w:p>
        </w:tc>
        <w:tc>
          <w:tcPr>
            <w:tcW w:w="2141" w:type="dxa"/>
            <w:vAlign w:val="center"/>
          </w:tcPr>
          <w:p w14:paraId="46D2CCC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연구문제</w:t>
            </w:r>
          </w:p>
        </w:tc>
        <w:tc>
          <w:tcPr>
            <w:tcW w:w="1582" w:type="dxa"/>
            <w:vAlign w:val="center"/>
          </w:tcPr>
          <w:p w14:paraId="512793E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포함</w:t>
            </w:r>
          </w:p>
        </w:tc>
        <w:tc>
          <w:tcPr>
            <w:tcW w:w="4697" w:type="dxa"/>
            <w:vAlign w:val="center"/>
          </w:tcPr>
          <w:p w14:paraId="23DD988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RQ1~RQ5</w:t>
            </w:r>
          </w:p>
        </w:tc>
      </w:tr>
      <w:tr w14:paraId="02398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96" w:type="dxa"/>
            <w:vAlign w:val="center"/>
          </w:tcPr>
          <w:p w14:paraId="5EF0469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(3)</w:t>
            </w:r>
          </w:p>
        </w:tc>
        <w:tc>
          <w:tcPr>
            <w:tcW w:w="2141" w:type="dxa"/>
            <w:vAlign w:val="center"/>
          </w:tcPr>
          <w:p w14:paraId="7665AF2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연구가설</w:t>
            </w:r>
          </w:p>
        </w:tc>
        <w:tc>
          <w:tcPr>
            <w:tcW w:w="1582" w:type="dxa"/>
            <w:vAlign w:val="center"/>
          </w:tcPr>
          <w:p w14:paraId="77ED99F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포함</w:t>
            </w:r>
          </w:p>
        </w:tc>
        <w:tc>
          <w:tcPr>
            <w:tcW w:w="4697" w:type="dxa"/>
            <w:vAlign w:val="center"/>
          </w:tcPr>
          <w:p w14:paraId="71097D5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H1~H5</w:t>
            </w:r>
          </w:p>
        </w:tc>
      </w:tr>
      <w:tr w14:paraId="407B3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96" w:type="dxa"/>
            <w:vAlign w:val="center"/>
          </w:tcPr>
          <w:p w14:paraId="58C00D2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(4)</w:t>
            </w:r>
          </w:p>
        </w:tc>
        <w:tc>
          <w:tcPr>
            <w:tcW w:w="2141" w:type="dxa"/>
            <w:vAlign w:val="center"/>
          </w:tcPr>
          <w:p w14:paraId="3117B19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구현 범위</w:t>
            </w:r>
          </w:p>
        </w:tc>
        <w:tc>
          <w:tcPr>
            <w:tcW w:w="1582" w:type="dxa"/>
            <w:vAlign w:val="center"/>
          </w:tcPr>
          <w:p w14:paraId="5D98D64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포함</w:t>
            </w:r>
          </w:p>
        </w:tc>
        <w:tc>
          <w:tcPr>
            <w:tcW w:w="4697" w:type="dxa"/>
            <w:vAlign w:val="center"/>
          </w:tcPr>
          <w:p w14:paraId="3F1D687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데이터 범위와 보안 경계</w:t>
            </w:r>
          </w:p>
        </w:tc>
      </w:tr>
      <w:tr w14:paraId="7C91D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96" w:type="dxa"/>
            <w:vAlign w:val="center"/>
          </w:tcPr>
          <w:p w14:paraId="186BCC3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(5)</w:t>
            </w:r>
          </w:p>
        </w:tc>
        <w:tc>
          <w:tcPr>
            <w:tcW w:w="2141" w:type="dxa"/>
            <w:vAlign w:val="center"/>
          </w:tcPr>
          <w:p w14:paraId="7938E6E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비교군</w:t>
            </w:r>
          </w:p>
        </w:tc>
        <w:tc>
          <w:tcPr>
            <w:tcW w:w="1582" w:type="dxa"/>
            <w:vAlign w:val="center"/>
          </w:tcPr>
          <w:p w14:paraId="5FD296F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포함</w:t>
            </w:r>
          </w:p>
        </w:tc>
        <w:tc>
          <w:tcPr>
            <w:tcW w:w="4697" w:type="dxa"/>
            <w:vAlign w:val="center"/>
          </w:tcPr>
          <w:p w14:paraId="32512B4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Baseline, Ablation, Experimental</w:t>
            </w:r>
          </w:p>
        </w:tc>
      </w:tr>
      <w:tr w14:paraId="35154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96" w:type="dxa"/>
            <w:vAlign w:val="center"/>
          </w:tcPr>
          <w:p w14:paraId="2DEC7C0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(6)</w:t>
            </w:r>
          </w:p>
        </w:tc>
        <w:tc>
          <w:tcPr>
            <w:tcW w:w="2141" w:type="dxa"/>
            <w:vAlign w:val="center"/>
          </w:tcPr>
          <w:p w14:paraId="56B608D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실험 환경</w:t>
            </w:r>
          </w:p>
        </w:tc>
        <w:tc>
          <w:tcPr>
            <w:tcW w:w="1582" w:type="dxa"/>
            <w:vAlign w:val="center"/>
          </w:tcPr>
          <w:p w14:paraId="2D128CF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포함</w:t>
            </w:r>
          </w:p>
        </w:tc>
        <w:tc>
          <w:tcPr>
            <w:tcW w:w="4697" w:type="dxa"/>
            <w:vAlign w:val="center"/>
          </w:tcPr>
          <w:p w14:paraId="18D3837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데이터, 블록체인, HW/SW</w:t>
            </w:r>
          </w:p>
        </w:tc>
      </w:tr>
      <w:tr w14:paraId="620D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096" w:type="dxa"/>
            <w:vAlign w:val="center"/>
          </w:tcPr>
          <w:p w14:paraId="528C76B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(7)</w:t>
            </w:r>
          </w:p>
        </w:tc>
        <w:tc>
          <w:tcPr>
            <w:tcW w:w="2141" w:type="dxa"/>
            <w:vAlign w:val="center"/>
          </w:tcPr>
          <w:p w14:paraId="46F9EE2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평가 지표</w:t>
            </w:r>
          </w:p>
        </w:tc>
        <w:tc>
          <w:tcPr>
            <w:tcW w:w="1582" w:type="dxa"/>
            <w:vAlign w:val="center"/>
          </w:tcPr>
          <w:p w14:paraId="71E3A54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포함</w:t>
            </w:r>
          </w:p>
        </w:tc>
        <w:tc>
          <w:tcPr>
            <w:tcW w:w="4697" w:type="dxa"/>
            <w:vAlign w:val="center"/>
          </w:tcPr>
          <w:p w14:paraId="39BAE63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정확도, F1, AUC, TPS, latency, gas cost</w:t>
            </w:r>
          </w:p>
        </w:tc>
      </w:tr>
      <w:tr w14:paraId="4168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96" w:type="dxa"/>
            <w:vAlign w:val="center"/>
          </w:tcPr>
          <w:p w14:paraId="500700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(8)</w:t>
            </w:r>
          </w:p>
        </w:tc>
        <w:tc>
          <w:tcPr>
            <w:tcW w:w="2141" w:type="dxa"/>
            <w:vAlign w:val="center"/>
          </w:tcPr>
          <w:p w14:paraId="76F2925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실험 절차</w:t>
            </w:r>
          </w:p>
        </w:tc>
        <w:tc>
          <w:tcPr>
            <w:tcW w:w="1582" w:type="dxa"/>
            <w:vAlign w:val="center"/>
          </w:tcPr>
          <w:p w14:paraId="6C0AE1C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포함</w:t>
            </w:r>
          </w:p>
        </w:tc>
        <w:tc>
          <w:tcPr>
            <w:tcW w:w="4697" w:type="dxa"/>
            <w:vAlign w:val="center"/>
          </w:tcPr>
          <w:p w14:paraId="4920320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수집-전처리-학습-비교-분석</w:t>
            </w:r>
          </w:p>
        </w:tc>
      </w:tr>
      <w:tr w14:paraId="77998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96" w:type="dxa"/>
            <w:vAlign w:val="center"/>
          </w:tcPr>
          <w:p w14:paraId="14EEB66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(9)</w:t>
            </w:r>
          </w:p>
        </w:tc>
        <w:tc>
          <w:tcPr>
            <w:tcW w:w="2141" w:type="dxa"/>
            <w:vAlign w:val="center"/>
          </w:tcPr>
          <w:p w14:paraId="477C85F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표 예정안</w:t>
            </w:r>
          </w:p>
        </w:tc>
        <w:tc>
          <w:tcPr>
            <w:tcW w:w="1582" w:type="dxa"/>
            <w:vAlign w:val="center"/>
          </w:tcPr>
          <w:p w14:paraId="1B01802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포함</w:t>
            </w:r>
          </w:p>
        </w:tc>
        <w:tc>
          <w:tcPr>
            <w:tcW w:w="4697" w:type="dxa"/>
            <w:vAlign w:val="center"/>
          </w:tcPr>
          <w:p w14:paraId="565C633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결과 표 설계</w:t>
            </w:r>
          </w:p>
        </w:tc>
      </w:tr>
      <w:tr w14:paraId="116BE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96" w:type="dxa"/>
            <w:vAlign w:val="center"/>
          </w:tcPr>
          <w:p w14:paraId="4BF457D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(10)</w:t>
            </w:r>
          </w:p>
        </w:tc>
        <w:tc>
          <w:tcPr>
            <w:tcW w:w="2141" w:type="dxa"/>
            <w:vAlign w:val="center"/>
          </w:tcPr>
          <w:p w14:paraId="451B7E8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그림 예정안</w:t>
            </w:r>
          </w:p>
        </w:tc>
        <w:tc>
          <w:tcPr>
            <w:tcW w:w="1582" w:type="dxa"/>
            <w:vAlign w:val="center"/>
          </w:tcPr>
          <w:p w14:paraId="39E2E42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포함</w:t>
            </w:r>
          </w:p>
        </w:tc>
        <w:tc>
          <w:tcPr>
            <w:tcW w:w="4697" w:type="dxa"/>
            <w:vAlign w:val="center"/>
          </w:tcPr>
          <w:p w14:paraId="7E209C9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흐름도 및 그래프 설계</w:t>
            </w:r>
          </w:p>
        </w:tc>
      </w:tr>
    </w:tbl>
    <w:p w14:paraId="2990796D"/>
    <w:p w14:paraId="08FE47D1">
      <w:pPr>
        <w:jc w:val="center"/>
      </w:pPr>
      <w:r>
        <w:drawing>
          <wp:inline distT="0" distB="0" distL="114300" distR="114300">
            <wp:extent cx="5669280" cy="2080895"/>
            <wp:effectExtent l="0" t="0" r="762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8665">
      <w:pPr>
        <w:jc w:val="center"/>
      </w:pPr>
      <w:r>
        <w:rPr>
          <w:rFonts w:ascii="Malgun Gothic" w:hAnsi="Malgun Gothic" w:eastAsia="Malgun Gothic"/>
          <w:b/>
          <w:sz w:val="19"/>
        </w:rPr>
        <w:t>그림10-1 실험 검증 흐름도</w:t>
      </w:r>
    </w:p>
    <w:p w14:paraId="0F896A47">
      <w:pPr>
        <w:pStyle w:val="3"/>
      </w:pPr>
      <w:r>
        <w:rPr>
          <w:rFonts w:ascii="Malgun Gothic" w:hAnsi="Malgun Gothic" w:eastAsia="Malgun Gothic"/>
          <w:b/>
          <w:sz w:val="28"/>
        </w:rPr>
        <w:t>(1) 실험 목적</w:t>
      </w:r>
    </w:p>
    <w:p w14:paraId="2B6E8E19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• GNN 기반 프로젝트 비즈니스 유사도 식별 성능 검증</w:t>
      </w:r>
    </w:p>
    <w:p w14:paraId="582CA125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• LoRA-LLM 기반 악성 거래 탐지 성능 검증</w:t>
      </w:r>
    </w:p>
    <w:p w14:paraId="0928175E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• 기존 방법과의 성능·비용·실시간성 비교</w:t>
      </w:r>
    </w:p>
    <w:p w14:paraId="4F54097B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• TPS, latency, gas cost, finality, security assumption 평가</w:t>
      </w:r>
    </w:p>
    <w:p w14:paraId="55FF6879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• 데이터 품질과 모델 자원 소모 측면의 한계 분석</w:t>
      </w:r>
    </w:p>
    <w:p w14:paraId="5C671B12">
      <w:pPr>
        <w:pStyle w:val="3"/>
      </w:pPr>
      <w:r>
        <w:rPr>
          <w:rFonts w:ascii="Malgun Gothic" w:hAnsi="Malgun Gothic" w:eastAsia="Malgun Gothic"/>
          <w:b/>
          <w:sz w:val="28"/>
        </w:rPr>
        <w:t>(2) 연구문제</w:t>
      </w:r>
    </w:p>
    <w:p w14:paraId="0B5B9845">
      <w:pPr>
        <w:jc w:val="center"/>
      </w:pPr>
      <w:r>
        <w:rPr>
          <w:rFonts w:ascii="Malgun Gothic" w:hAnsi="Malgun Gothic" w:eastAsia="Malgun Gothic"/>
          <w:b/>
          <w:sz w:val="19"/>
        </w:rPr>
        <w:t>표10-2 연구문제 설계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4200"/>
        <w:gridCol w:w="1881"/>
        <w:gridCol w:w="2461"/>
      </w:tblGrid>
      <w:tr w14:paraId="71CF7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74" w:type="dxa"/>
            <w:shd w:val="clear" w:color="auto" w:fill="D9EAF7"/>
            <w:vAlign w:val="center"/>
          </w:tcPr>
          <w:p w14:paraId="38549FCA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번호</w:t>
            </w:r>
          </w:p>
        </w:tc>
        <w:tc>
          <w:tcPr>
            <w:tcW w:w="4200" w:type="dxa"/>
            <w:shd w:val="clear" w:color="auto" w:fill="D9EAF7"/>
            <w:vAlign w:val="center"/>
          </w:tcPr>
          <w:p w14:paraId="41C8F04F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연구문제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6C9DBEF9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대응 실험</w:t>
            </w:r>
          </w:p>
        </w:tc>
        <w:tc>
          <w:tcPr>
            <w:tcW w:w="2461" w:type="dxa"/>
            <w:shd w:val="clear" w:color="auto" w:fill="D9EAF7"/>
            <w:vAlign w:val="center"/>
          </w:tcPr>
          <w:p w14:paraId="3E507EA0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주요 지표</w:t>
            </w:r>
          </w:p>
        </w:tc>
      </w:tr>
      <w:tr w14:paraId="66D5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74" w:type="dxa"/>
            <w:vAlign w:val="center"/>
          </w:tcPr>
          <w:p w14:paraId="4B1C98FD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RQ1</w:t>
            </w:r>
          </w:p>
        </w:tc>
        <w:tc>
          <w:tcPr>
            <w:tcW w:w="4200" w:type="dxa"/>
            <w:vAlign w:val="center"/>
          </w:tcPr>
          <w:p w14:paraId="20F78C6E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비즈니스 주간선 그래프는 프로젝트 유형과 유사성을 표현하는가?</w:t>
            </w:r>
          </w:p>
        </w:tc>
        <w:tc>
          <w:tcPr>
            <w:tcW w:w="1881" w:type="dxa"/>
            <w:vAlign w:val="center"/>
          </w:tcPr>
          <w:p w14:paraId="537204BD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분류/유사도 실험</w:t>
            </w:r>
          </w:p>
        </w:tc>
        <w:tc>
          <w:tcPr>
            <w:tcW w:w="2461" w:type="dxa"/>
            <w:vAlign w:val="center"/>
          </w:tcPr>
          <w:p w14:paraId="18CFA46B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Top-k, NMI, ARI</w:t>
            </w:r>
          </w:p>
        </w:tc>
      </w:tr>
      <w:tr w14:paraId="0729D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74" w:type="dxa"/>
            <w:vAlign w:val="center"/>
          </w:tcPr>
          <w:p w14:paraId="24F423C2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RQ2</w:t>
            </w:r>
          </w:p>
        </w:tc>
        <w:tc>
          <w:tcPr>
            <w:tcW w:w="4200" w:type="dxa"/>
            <w:vAlign w:val="center"/>
          </w:tcPr>
          <w:p w14:paraId="23CB951F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자연어 거래 설명은 악성 탐지를 향상시키는가?</w:t>
            </w:r>
          </w:p>
        </w:tc>
        <w:tc>
          <w:tcPr>
            <w:tcW w:w="1881" w:type="dxa"/>
            <w:vAlign w:val="center"/>
          </w:tcPr>
          <w:p w14:paraId="75900D3A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탐지 실험</w:t>
            </w:r>
          </w:p>
        </w:tc>
        <w:tc>
          <w:tcPr>
            <w:tcW w:w="2461" w:type="dxa"/>
            <w:vAlign w:val="center"/>
          </w:tcPr>
          <w:p w14:paraId="48C9B361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Recall, F1, AUC</w:t>
            </w:r>
          </w:p>
        </w:tc>
      </w:tr>
      <w:tr w14:paraId="6DADA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74" w:type="dxa"/>
            <w:vAlign w:val="center"/>
          </w:tcPr>
          <w:p w14:paraId="40384CE8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RQ3</w:t>
            </w:r>
          </w:p>
        </w:tc>
        <w:tc>
          <w:tcPr>
            <w:tcW w:w="4200" w:type="dxa"/>
            <w:vAlign w:val="center"/>
          </w:tcPr>
          <w:p w14:paraId="33288201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AIB2PSec는 기존 방법보다 우수한가?</w:t>
            </w:r>
          </w:p>
        </w:tc>
        <w:tc>
          <w:tcPr>
            <w:tcW w:w="1881" w:type="dxa"/>
            <w:vAlign w:val="center"/>
          </w:tcPr>
          <w:p w14:paraId="02215329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비교 실험</w:t>
            </w:r>
          </w:p>
        </w:tc>
        <w:tc>
          <w:tcPr>
            <w:tcW w:w="2461" w:type="dxa"/>
            <w:vAlign w:val="center"/>
          </w:tcPr>
          <w:p w14:paraId="4E9F33E8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F1, AUC, FPR/FNR</w:t>
            </w:r>
          </w:p>
        </w:tc>
      </w:tr>
      <w:tr w14:paraId="3D3B6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74" w:type="dxa"/>
            <w:vAlign w:val="center"/>
          </w:tcPr>
          <w:p w14:paraId="223F1358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RQ4</w:t>
            </w:r>
          </w:p>
        </w:tc>
        <w:tc>
          <w:tcPr>
            <w:tcW w:w="4200" w:type="dxa"/>
            <w:vAlign w:val="center"/>
          </w:tcPr>
          <w:p w14:paraId="402B2983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준실시간 모니터링이 가능한가?</w:t>
            </w:r>
          </w:p>
        </w:tc>
        <w:tc>
          <w:tcPr>
            <w:tcW w:w="1881" w:type="dxa"/>
            <w:vAlign w:val="center"/>
          </w:tcPr>
          <w:p w14:paraId="2B8F82F0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성능 실험</w:t>
            </w:r>
          </w:p>
        </w:tc>
        <w:tc>
          <w:tcPr>
            <w:tcW w:w="2461" w:type="dxa"/>
            <w:vAlign w:val="center"/>
          </w:tcPr>
          <w:p w14:paraId="63CCEF3B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TPS, latency, finality</w:t>
            </w:r>
          </w:p>
        </w:tc>
      </w:tr>
      <w:tr w14:paraId="0696C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74" w:type="dxa"/>
            <w:vAlign w:val="center"/>
          </w:tcPr>
          <w:p w14:paraId="6C4B76B5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RQ5</w:t>
            </w:r>
          </w:p>
        </w:tc>
        <w:tc>
          <w:tcPr>
            <w:tcW w:w="4200" w:type="dxa"/>
            <w:vAlign w:val="center"/>
          </w:tcPr>
          <w:p w14:paraId="67664EAD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유사 프로젝트 경고가 조기 경고에 도움 되는가?</w:t>
            </w:r>
          </w:p>
        </w:tc>
        <w:tc>
          <w:tcPr>
            <w:tcW w:w="1881" w:type="dxa"/>
            <w:vAlign w:val="center"/>
          </w:tcPr>
          <w:p w14:paraId="55C1739B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경고 실험</w:t>
            </w:r>
          </w:p>
        </w:tc>
        <w:tc>
          <w:tcPr>
            <w:tcW w:w="2461" w:type="dxa"/>
            <w:vAlign w:val="center"/>
          </w:tcPr>
          <w:p w14:paraId="38B2DC8E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Warning lead time</w:t>
            </w:r>
          </w:p>
        </w:tc>
      </w:tr>
    </w:tbl>
    <w:p w14:paraId="4A6E8CD4">
      <w:pPr>
        <w:pStyle w:val="3"/>
      </w:pPr>
      <w:r>
        <w:rPr>
          <w:rFonts w:ascii="Malgun Gothic" w:hAnsi="Malgun Gothic" w:eastAsia="Malgun Gothic"/>
          <w:b/>
          <w:sz w:val="28"/>
        </w:rPr>
        <w:t>(3) 연구가설</w:t>
      </w:r>
    </w:p>
    <w:p w14:paraId="513EAC1A">
      <w:pPr>
        <w:jc w:val="center"/>
      </w:pPr>
      <w:r>
        <w:rPr>
          <w:rFonts w:ascii="Malgun Gothic" w:hAnsi="Malgun Gothic" w:eastAsia="Malgun Gothic"/>
          <w:b/>
          <w:sz w:val="19"/>
        </w:rPr>
        <w:t>표10-3 연구가설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5550"/>
        <w:gridCol w:w="2816"/>
      </w:tblGrid>
      <w:tr w14:paraId="2D2B4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53" w:type="dxa"/>
            <w:shd w:val="clear" w:color="auto" w:fill="D9EAF7"/>
            <w:vAlign w:val="center"/>
          </w:tcPr>
          <w:p w14:paraId="6E9A10FB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가설</w:t>
            </w:r>
          </w:p>
        </w:tc>
        <w:tc>
          <w:tcPr>
            <w:tcW w:w="5550" w:type="dxa"/>
            <w:shd w:val="clear" w:color="auto" w:fill="D9EAF7"/>
            <w:vAlign w:val="center"/>
          </w:tcPr>
          <w:p w14:paraId="5A39F1F0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내용</w:t>
            </w:r>
          </w:p>
        </w:tc>
        <w:tc>
          <w:tcPr>
            <w:tcW w:w="2816" w:type="dxa"/>
            <w:shd w:val="clear" w:color="auto" w:fill="D9EAF7"/>
            <w:vAlign w:val="center"/>
          </w:tcPr>
          <w:p w14:paraId="34430444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예상 검증 결과</w:t>
            </w:r>
          </w:p>
        </w:tc>
      </w:tr>
      <w:tr w14:paraId="1F66D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53" w:type="dxa"/>
            <w:vAlign w:val="center"/>
          </w:tcPr>
          <w:p w14:paraId="04A85FC9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H1</w:t>
            </w:r>
          </w:p>
        </w:tc>
        <w:tc>
          <w:tcPr>
            <w:tcW w:w="5550" w:type="dxa"/>
            <w:vAlign w:val="center"/>
          </w:tcPr>
          <w:p w14:paraId="299E99A2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비즈니스 주간선 그래프는 통계 특징보다 프로젝트 유형 식별에 효과적이다.</w:t>
            </w:r>
          </w:p>
        </w:tc>
        <w:tc>
          <w:tcPr>
            <w:tcW w:w="2816" w:type="dxa"/>
            <w:vAlign w:val="center"/>
          </w:tcPr>
          <w:p w14:paraId="63D48681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GNN 성능 우수</w:t>
            </w:r>
          </w:p>
        </w:tc>
      </w:tr>
      <w:tr w14:paraId="4DF0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53" w:type="dxa"/>
            <w:vAlign w:val="center"/>
          </w:tcPr>
          <w:p w14:paraId="52AF70D1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H2</w:t>
            </w:r>
          </w:p>
        </w:tc>
        <w:tc>
          <w:tcPr>
            <w:tcW w:w="5550" w:type="dxa"/>
            <w:vAlign w:val="center"/>
          </w:tcPr>
          <w:p w14:paraId="613C4229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자연어 거래 설명은 LLM 탐지 성능을 향상시킨다.</w:t>
            </w:r>
          </w:p>
        </w:tc>
        <w:tc>
          <w:tcPr>
            <w:tcW w:w="2816" w:type="dxa"/>
            <w:vAlign w:val="center"/>
          </w:tcPr>
          <w:p w14:paraId="252E6CE0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F1/Recall 향상</w:t>
            </w:r>
          </w:p>
        </w:tc>
      </w:tr>
      <w:tr w14:paraId="51D64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53" w:type="dxa"/>
            <w:vAlign w:val="center"/>
          </w:tcPr>
          <w:p w14:paraId="2C2A38DC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H3</w:t>
            </w:r>
          </w:p>
        </w:tc>
        <w:tc>
          <w:tcPr>
            <w:tcW w:w="5550" w:type="dxa"/>
            <w:vAlign w:val="center"/>
          </w:tcPr>
          <w:p w14:paraId="7660932F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AIB2PSec는 단일 모델보다 우수하다.</w:t>
            </w:r>
          </w:p>
        </w:tc>
        <w:tc>
          <w:tcPr>
            <w:tcW w:w="2816" w:type="dxa"/>
            <w:vAlign w:val="center"/>
          </w:tcPr>
          <w:p w14:paraId="76479E45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AUC/F1 최고</w:t>
            </w:r>
          </w:p>
        </w:tc>
      </w:tr>
      <w:tr w14:paraId="175A6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53" w:type="dxa"/>
            <w:vAlign w:val="center"/>
          </w:tcPr>
          <w:p w14:paraId="35F156C3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H4</w:t>
            </w:r>
          </w:p>
        </w:tc>
        <w:tc>
          <w:tcPr>
            <w:tcW w:w="5550" w:type="dxa"/>
            <w:vAlign w:val="center"/>
          </w:tcPr>
          <w:p w14:paraId="55C60CDA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latency는 증가하지만 준실시간 요구를 만족한다.</w:t>
            </w:r>
          </w:p>
        </w:tc>
        <w:tc>
          <w:tcPr>
            <w:tcW w:w="2816" w:type="dxa"/>
            <w:vAlign w:val="center"/>
          </w:tcPr>
          <w:p w14:paraId="3613B1C9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평균/P95 latency 허용 범위</w:t>
            </w:r>
          </w:p>
        </w:tc>
      </w:tr>
      <w:tr w14:paraId="3E3CD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53" w:type="dxa"/>
            <w:vAlign w:val="center"/>
          </w:tcPr>
          <w:p w14:paraId="7502AD47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H5</w:t>
            </w:r>
          </w:p>
        </w:tc>
        <w:tc>
          <w:tcPr>
            <w:tcW w:w="5550" w:type="dxa"/>
            <w:vAlign w:val="center"/>
          </w:tcPr>
          <w:p w14:paraId="04BF6FAB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유사 프로젝트 경고는 조기 경고에 효과적이다.</w:t>
            </w:r>
          </w:p>
        </w:tc>
        <w:tc>
          <w:tcPr>
            <w:tcW w:w="2816" w:type="dxa"/>
            <w:vAlign w:val="center"/>
          </w:tcPr>
          <w:p w14:paraId="17747EB1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warning lead time 향상</w:t>
            </w:r>
          </w:p>
        </w:tc>
      </w:tr>
    </w:tbl>
    <w:p w14:paraId="212BEF64">
      <w:pPr>
        <w:pStyle w:val="3"/>
      </w:pPr>
      <w:r>
        <w:rPr>
          <w:rFonts w:ascii="Malgun Gothic" w:hAnsi="Malgun Gothic" w:eastAsia="Malgun Gothic"/>
          <w:b/>
          <w:sz w:val="28"/>
        </w:rPr>
        <w:t>(4) 구현 범위</w:t>
      </w:r>
    </w:p>
    <w:p w14:paraId="5B53A56D">
      <w:pPr>
        <w:spacing w:after="120" w:line="317" w:lineRule="auto"/>
        <w:ind w:firstLine="425"/>
      </w:pPr>
      <w:r>
        <w:rPr>
          <w:rFonts w:ascii="Malgun Gothic" w:hAnsi="Malgun Gothic" w:eastAsia="Malgun Gothic"/>
          <w:b w:val="0"/>
          <w:sz w:val="21"/>
        </w:rPr>
        <w:t>실험 대상은 이더리움 공개 스마트 계약 프로젝트이며, DEX, Lending, Yield, NFT, Insurance 유형을 포함한다. 데이터는 공개 거래, 내부 호출, opcode, 이벤트 로그, 프로젝트 라벨, 공격 라벨 및 로컬 시뮬레이션 샘플로 제한한다. 실제 공격, 메인넷 공격 거래, 개인키·인증정보·개인정보 수집은 수행하지 않는다.</w:t>
      </w:r>
    </w:p>
    <w:p w14:paraId="019E8CB1">
      <w:pPr>
        <w:pStyle w:val="3"/>
      </w:pPr>
      <w:r>
        <w:rPr>
          <w:rFonts w:ascii="Malgun Gothic" w:hAnsi="Malgun Gothic" w:eastAsia="Malgun Gothic"/>
          <w:b/>
          <w:sz w:val="28"/>
        </w:rPr>
        <w:t>(5) 비교군</w:t>
      </w:r>
    </w:p>
    <w:p w14:paraId="48F69BF3">
      <w:pPr>
        <w:jc w:val="center"/>
      </w:pPr>
      <w:r>
        <w:rPr>
          <w:rFonts w:ascii="Malgun Gothic" w:hAnsi="Malgun Gothic" w:eastAsia="Malgun Gothic"/>
          <w:b/>
          <w:sz w:val="19"/>
        </w:rPr>
        <w:t>표10-4 실험군 및 비교군 설계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277"/>
        <w:gridCol w:w="3041"/>
        <w:gridCol w:w="2720"/>
      </w:tblGrid>
      <w:tr w14:paraId="00C2B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8" w:type="dxa"/>
            <w:shd w:val="clear" w:color="auto" w:fill="D9EAF7"/>
            <w:vAlign w:val="center"/>
          </w:tcPr>
          <w:p w14:paraId="571A07A4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구분</w:t>
            </w:r>
          </w:p>
        </w:tc>
        <w:tc>
          <w:tcPr>
            <w:tcW w:w="2277" w:type="dxa"/>
            <w:shd w:val="clear" w:color="auto" w:fill="D9EAF7"/>
            <w:vAlign w:val="center"/>
          </w:tcPr>
          <w:p w14:paraId="2EF8963B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방법</w:t>
            </w:r>
          </w:p>
        </w:tc>
        <w:tc>
          <w:tcPr>
            <w:tcW w:w="3041" w:type="dxa"/>
            <w:shd w:val="clear" w:color="auto" w:fill="D9EAF7"/>
            <w:vAlign w:val="center"/>
          </w:tcPr>
          <w:p w14:paraId="247E11AA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입력/특징</w:t>
            </w:r>
          </w:p>
        </w:tc>
        <w:tc>
          <w:tcPr>
            <w:tcW w:w="2720" w:type="dxa"/>
            <w:shd w:val="clear" w:color="auto" w:fill="D9EAF7"/>
            <w:vAlign w:val="center"/>
          </w:tcPr>
          <w:p w14:paraId="3BBD4A43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목적</w:t>
            </w:r>
          </w:p>
        </w:tc>
      </w:tr>
      <w:tr w14:paraId="5DE3A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8" w:type="dxa"/>
            <w:vAlign w:val="center"/>
          </w:tcPr>
          <w:p w14:paraId="6664382D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Baseline A</w:t>
            </w:r>
          </w:p>
        </w:tc>
        <w:tc>
          <w:tcPr>
            <w:tcW w:w="2277" w:type="dxa"/>
            <w:vAlign w:val="center"/>
          </w:tcPr>
          <w:p w14:paraId="7F2EC250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정적 규칙</w:t>
            </w:r>
          </w:p>
        </w:tc>
        <w:tc>
          <w:tcPr>
            <w:tcW w:w="3041" w:type="dxa"/>
            <w:vAlign w:val="center"/>
          </w:tcPr>
          <w:p w14:paraId="3F8C0BCE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취약점 패턴/opcode</w:t>
            </w:r>
          </w:p>
        </w:tc>
        <w:tc>
          <w:tcPr>
            <w:tcW w:w="2720" w:type="dxa"/>
            <w:vAlign w:val="center"/>
          </w:tcPr>
          <w:p w14:paraId="58A8A623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규칙 기반 비교</w:t>
            </w:r>
          </w:p>
        </w:tc>
      </w:tr>
      <w:tr w14:paraId="47116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  <w:jc w:val="center"/>
        </w:trPr>
        <w:tc>
          <w:tcPr>
            <w:tcW w:w="1478" w:type="dxa"/>
            <w:vAlign w:val="center"/>
          </w:tcPr>
          <w:p w14:paraId="09591969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Baseline B</w:t>
            </w:r>
          </w:p>
        </w:tc>
        <w:tc>
          <w:tcPr>
            <w:tcW w:w="2277" w:type="dxa"/>
            <w:vAlign w:val="center"/>
          </w:tcPr>
          <w:p w14:paraId="5971B79F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전통적 ML</w:t>
            </w:r>
          </w:p>
        </w:tc>
        <w:tc>
          <w:tcPr>
            <w:tcW w:w="3041" w:type="dxa"/>
            <w:vAlign w:val="center"/>
          </w:tcPr>
          <w:p w14:paraId="5DE1EA8C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거래 통계</w:t>
            </w:r>
          </w:p>
        </w:tc>
        <w:tc>
          <w:tcPr>
            <w:tcW w:w="2720" w:type="dxa"/>
            <w:vAlign w:val="center"/>
          </w:tcPr>
          <w:p w14:paraId="5A35B985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RF/SVM/XGBoost 비교</w:t>
            </w:r>
          </w:p>
        </w:tc>
      </w:tr>
      <w:tr w14:paraId="0E5B7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8" w:type="dxa"/>
            <w:vAlign w:val="center"/>
          </w:tcPr>
          <w:p w14:paraId="0F524793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Baseline C</w:t>
            </w:r>
          </w:p>
        </w:tc>
        <w:tc>
          <w:tcPr>
            <w:tcW w:w="2277" w:type="dxa"/>
            <w:vAlign w:val="center"/>
          </w:tcPr>
          <w:p w14:paraId="125C12FC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시퀀스 DL</w:t>
            </w:r>
          </w:p>
        </w:tc>
        <w:tc>
          <w:tcPr>
            <w:tcW w:w="3041" w:type="dxa"/>
            <w:vAlign w:val="center"/>
          </w:tcPr>
          <w:p w14:paraId="7D9283A5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opcode/호출 시퀀스</w:t>
            </w:r>
          </w:p>
        </w:tc>
        <w:tc>
          <w:tcPr>
            <w:tcW w:w="2720" w:type="dxa"/>
            <w:vAlign w:val="center"/>
          </w:tcPr>
          <w:p w14:paraId="7E6EF5D6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LSTM/Transformer 비교</w:t>
            </w:r>
          </w:p>
        </w:tc>
      </w:tr>
      <w:tr w14:paraId="2A228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8" w:type="dxa"/>
            <w:vAlign w:val="center"/>
          </w:tcPr>
          <w:p w14:paraId="0C53EFB8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Baseline D</w:t>
            </w:r>
          </w:p>
        </w:tc>
        <w:tc>
          <w:tcPr>
            <w:tcW w:w="2277" w:type="dxa"/>
            <w:vAlign w:val="center"/>
          </w:tcPr>
          <w:p w14:paraId="53B2D1AF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GNN only</w:t>
            </w:r>
          </w:p>
        </w:tc>
        <w:tc>
          <w:tcPr>
            <w:tcW w:w="3041" w:type="dxa"/>
            <w:vAlign w:val="center"/>
          </w:tcPr>
          <w:p w14:paraId="19550B6C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프로젝트 그래프</w:t>
            </w:r>
          </w:p>
        </w:tc>
        <w:tc>
          <w:tcPr>
            <w:tcW w:w="2720" w:type="dxa"/>
            <w:vAlign w:val="center"/>
          </w:tcPr>
          <w:p w14:paraId="79156259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그래프 단독 검증</w:t>
            </w:r>
          </w:p>
        </w:tc>
      </w:tr>
      <w:tr w14:paraId="62104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8" w:type="dxa"/>
            <w:vAlign w:val="center"/>
          </w:tcPr>
          <w:p w14:paraId="35FBED30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Baseline E</w:t>
            </w:r>
          </w:p>
        </w:tc>
        <w:tc>
          <w:tcPr>
            <w:tcW w:w="2277" w:type="dxa"/>
            <w:vAlign w:val="center"/>
          </w:tcPr>
          <w:p w14:paraId="49885C18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LLM only</w:t>
            </w:r>
          </w:p>
        </w:tc>
        <w:tc>
          <w:tcPr>
            <w:tcW w:w="3041" w:type="dxa"/>
            <w:vAlign w:val="center"/>
          </w:tcPr>
          <w:p w14:paraId="28657C33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자연어 설명</w:t>
            </w:r>
          </w:p>
        </w:tc>
        <w:tc>
          <w:tcPr>
            <w:tcW w:w="2720" w:type="dxa"/>
            <w:vAlign w:val="center"/>
          </w:tcPr>
          <w:p w14:paraId="12C4F789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언어 모델 단독 검증</w:t>
            </w:r>
          </w:p>
        </w:tc>
      </w:tr>
      <w:tr w14:paraId="5A58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8" w:type="dxa"/>
            <w:vAlign w:val="center"/>
          </w:tcPr>
          <w:p w14:paraId="4D187DE4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Ablation</w:t>
            </w:r>
          </w:p>
        </w:tc>
        <w:tc>
          <w:tcPr>
            <w:tcW w:w="2277" w:type="dxa"/>
            <w:vAlign w:val="center"/>
          </w:tcPr>
          <w:p w14:paraId="3507E8B4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모듈 제거</w:t>
            </w:r>
          </w:p>
        </w:tc>
        <w:tc>
          <w:tcPr>
            <w:tcW w:w="3041" w:type="dxa"/>
            <w:vAlign w:val="center"/>
          </w:tcPr>
          <w:p w14:paraId="769291CB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GNN/NL/LoRA/Warning 제거</w:t>
            </w:r>
          </w:p>
        </w:tc>
        <w:tc>
          <w:tcPr>
            <w:tcW w:w="2720" w:type="dxa"/>
            <w:vAlign w:val="center"/>
          </w:tcPr>
          <w:p w14:paraId="6CF620A7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모듈 기여도 확인</w:t>
            </w:r>
          </w:p>
        </w:tc>
      </w:tr>
      <w:tr w14:paraId="1C934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8" w:type="dxa"/>
            <w:vAlign w:val="center"/>
          </w:tcPr>
          <w:p w14:paraId="4ACEACE3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Experimental</w:t>
            </w:r>
          </w:p>
        </w:tc>
        <w:tc>
          <w:tcPr>
            <w:tcW w:w="2277" w:type="dxa"/>
            <w:vAlign w:val="center"/>
          </w:tcPr>
          <w:p w14:paraId="4B655CCD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AIB2PSec</w:t>
            </w:r>
          </w:p>
        </w:tc>
        <w:tc>
          <w:tcPr>
            <w:tcW w:w="3041" w:type="dxa"/>
            <w:vAlign w:val="center"/>
          </w:tcPr>
          <w:p w14:paraId="45958D7E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GNN+LoRA-LLM+Warning</w:t>
            </w:r>
          </w:p>
        </w:tc>
        <w:tc>
          <w:tcPr>
            <w:tcW w:w="2720" w:type="dxa"/>
            <w:vAlign w:val="center"/>
          </w:tcPr>
          <w:p w14:paraId="3C184169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제안 방법</w:t>
            </w:r>
          </w:p>
        </w:tc>
      </w:tr>
    </w:tbl>
    <w:p w14:paraId="7454DC15"/>
    <w:p w14:paraId="618818DB">
      <w:pPr>
        <w:jc w:val="center"/>
      </w:pPr>
      <w:r>
        <w:drawing>
          <wp:inline distT="0" distB="0" distL="114300" distR="114300">
            <wp:extent cx="5669280" cy="225933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9BD0">
      <w:pPr>
        <w:jc w:val="center"/>
      </w:pPr>
      <w:r>
        <w:rPr>
          <w:rFonts w:ascii="Malgun Gothic" w:hAnsi="Malgun Gothic" w:eastAsia="Malgun Gothic"/>
          <w:b/>
          <w:sz w:val="19"/>
        </w:rPr>
        <w:t>그림10-2 비교군 설계도</w:t>
      </w:r>
    </w:p>
    <w:p w14:paraId="685AFA37">
      <w:pPr>
        <w:pStyle w:val="3"/>
      </w:pPr>
      <w:r>
        <w:rPr>
          <w:rFonts w:ascii="Malgun Gothic" w:hAnsi="Malgun Gothic" w:eastAsia="Malgun Gothic"/>
          <w:b/>
          <w:sz w:val="28"/>
        </w:rPr>
        <w:t>(6) 실험 환경</w:t>
      </w:r>
    </w:p>
    <w:p w14:paraId="57B499A7">
      <w:pPr>
        <w:jc w:val="center"/>
      </w:pPr>
      <w:r>
        <w:rPr>
          <w:rFonts w:ascii="Malgun Gothic" w:hAnsi="Malgun Gothic" w:eastAsia="Malgun Gothic"/>
          <w:b/>
          <w:sz w:val="19"/>
        </w:rPr>
        <w:t>표10-5 실험 환경 계획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6"/>
        <w:gridCol w:w="7112"/>
      </w:tblGrid>
      <w:tr w14:paraId="20899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2406" w:type="dxa"/>
            <w:shd w:val="clear" w:color="auto" w:fill="D9EAF7"/>
            <w:vAlign w:val="center"/>
          </w:tcPr>
          <w:p w14:paraId="5201AAD1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항목</w:t>
            </w:r>
          </w:p>
        </w:tc>
        <w:tc>
          <w:tcPr>
            <w:tcW w:w="7112" w:type="dxa"/>
            <w:shd w:val="clear" w:color="auto" w:fill="D9EAF7"/>
            <w:vAlign w:val="center"/>
          </w:tcPr>
          <w:p w14:paraId="2417B381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계획 내용</w:t>
            </w:r>
          </w:p>
        </w:tc>
      </w:tr>
      <w:tr w14:paraId="5571F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06" w:type="dxa"/>
            <w:vAlign w:val="center"/>
          </w:tcPr>
          <w:p w14:paraId="08DDCFE9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데이터</w:t>
            </w:r>
          </w:p>
        </w:tc>
        <w:tc>
          <w:tcPr>
            <w:tcW w:w="7112" w:type="dxa"/>
            <w:vAlign w:val="center"/>
          </w:tcPr>
          <w:p w14:paraId="21CB45DE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공개 이더리움 거래, trace, opcode, 이벤트 로그, 라벨</w:t>
            </w:r>
          </w:p>
        </w:tc>
      </w:tr>
      <w:tr w14:paraId="762A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06" w:type="dxa"/>
            <w:vAlign w:val="center"/>
          </w:tcPr>
          <w:p w14:paraId="4429071E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블록체인</w:t>
            </w:r>
          </w:p>
        </w:tc>
        <w:tc>
          <w:tcPr>
            <w:tcW w:w="7112" w:type="dxa"/>
            <w:vAlign w:val="center"/>
          </w:tcPr>
          <w:p w14:paraId="3498B3B2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이더리움 과거 데이터, RPC trace, Hardhat/Ganache</w:t>
            </w:r>
          </w:p>
        </w:tc>
      </w:tr>
      <w:tr w14:paraId="7B18D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2406" w:type="dxa"/>
            <w:vAlign w:val="center"/>
          </w:tcPr>
          <w:p w14:paraId="3A951913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하드웨어</w:t>
            </w:r>
          </w:p>
        </w:tc>
        <w:tc>
          <w:tcPr>
            <w:tcW w:w="7112" w:type="dxa"/>
            <w:vAlign w:val="center"/>
          </w:tcPr>
          <w:p w14:paraId="71AB8C65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GPU 24GB 이상 권장, CPU 8core, RAM 32GB 이상</w:t>
            </w:r>
          </w:p>
        </w:tc>
      </w:tr>
      <w:tr w14:paraId="7234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06" w:type="dxa"/>
            <w:vAlign w:val="center"/>
          </w:tcPr>
          <w:p w14:paraId="3F92A627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소프트웨어</w:t>
            </w:r>
          </w:p>
        </w:tc>
        <w:tc>
          <w:tcPr>
            <w:tcW w:w="7112" w:type="dxa"/>
            <w:vAlign w:val="center"/>
          </w:tcPr>
          <w:p w14:paraId="498A5D70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Python, PyTorch, PyG/DGL, Transformers, PEFT/LoRA, Web3.py</w:t>
            </w:r>
          </w:p>
        </w:tc>
      </w:tr>
      <w:tr w14:paraId="01FAC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06" w:type="dxa"/>
            <w:vAlign w:val="center"/>
          </w:tcPr>
          <w:p w14:paraId="59D02EE9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보안</w:t>
            </w:r>
          </w:p>
        </w:tc>
        <w:tc>
          <w:tcPr>
            <w:tcW w:w="7112" w:type="dxa"/>
            <w:vAlign w:val="center"/>
          </w:tcPr>
          <w:p w14:paraId="2807EB6C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오프체인 분석, 로컬 시뮬레이션, 실제 공격 금지</w:t>
            </w:r>
          </w:p>
        </w:tc>
      </w:tr>
    </w:tbl>
    <w:p w14:paraId="48FE772A">
      <w:pPr>
        <w:pStyle w:val="3"/>
      </w:pPr>
      <w:r>
        <w:rPr>
          <w:rFonts w:ascii="Malgun Gothic" w:hAnsi="Malgun Gothic" w:eastAsia="Malgun Gothic"/>
          <w:b/>
          <w:sz w:val="28"/>
        </w:rPr>
        <w:t>(7) 평가 지표</w:t>
      </w:r>
    </w:p>
    <w:p w14:paraId="05C54151">
      <w:pPr>
        <w:jc w:val="center"/>
      </w:pPr>
      <w:r>
        <w:rPr>
          <w:rFonts w:ascii="Malgun Gothic" w:hAnsi="Malgun Gothic" w:eastAsia="Malgun Gothic"/>
          <w:b/>
          <w:sz w:val="19"/>
        </w:rPr>
        <w:t>표10-6 평가 지표 설계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6893"/>
      </w:tblGrid>
      <w:tr w14:paraId="007E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625" w:type="dxa"/>
            <w:shd w:val="clear" w:color="auto" w:fill="D9EAF7"/>
            <w:vAlign w:val="center"/>
          </w:tcPr>
          <w:p w14:paraId="15CC4CBA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지표 유형</w:t>
            </w:r>
          </w:p>
        </w:tc>
        <w:tc>
          <w:tcPr>
            <w:tcW w:w="6893" w:type="dxa"/>
            <w:shd w:val="clear" w:color="auto" w:fill="D9EAF7"/>
            <w:vAlign w:val="center"/>
          </w:tcPr>
          <w:p w14:paraId="0523E6BC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구체적 지표</w:t>
            </w:r>
          </w:p>
        </w:tc>
      </w:tr>
      <w:tr w14:paraId="3ABFE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625" w:type="dxa"/>
            <w:vAlign w:val="center"/>
          </w:tcPr>
          <w:p w14:paraId="1494485A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탐지 성능</w:t>
            </w:r>
          </w:p>
        </w:tc>
        <w:tc>
          <w:tcPr>
            <w:tcW w:w="6893" w:type="dxa"/>
            <w:vAlign w:val="center"/>
          </w:tcPr>
          <w:p w14:paraId="5FAF152D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Accuracy, Precision, Recall, F1-score, AUC, FPR, FNR</w:t>
            </w:r>
          </w:p>
        </w:tc>
      </w:tr>
      <w:tr w14:paraId="4118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625" w:type="dxa"/>
            <w:vAlign w:val="center"/>
          </w:tcPr>
          <w:p w14:paraId="2BC0308E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유사성</w:t>
            </w:r>
          </w:p>
        </w:tc>
        <w:tc>
          <w:tcPr>
            <w:tcW w:w="6893" w:type="dxa"/>
            <w:vAlign w:val="center"/>
          </w:tcPr>
          <w:p w14:paraId="32568F45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Top-k Accuracy, NMI, ARI, Silhouette Score</w:t>
            </w:r>
          </w:p>
        </w:tc>
      </w:tr>
      <w:tr w14:paraId="50AC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625" w:type="dxa"/>
            <w:vAlign w:val="center"/>
          </w:tcPr>
          <w:p w14:paraId="4E4D8F7F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블록체인</w:t>
            </w:r>
          </w:p>
        </w:tc>
        <w:tc>
          <w:tcPr>
            <w:tcW w:w="6893" w:type="dxa"/>
            <w:vAlign w:val="center"/>
          </w:tcPr>
          <w:p w14:paraId="097A5908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TPS, mean/P95/P99 latency, finality</w:t>
            </w:r>
          </w:p>
        </w:tc>
      </w:tr>
      <w:tr w14:paraId="4A24C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625" w:type="dxa"/>
            <w:vAlign w:val="center"/>
          </w:tcPr>
          <w:p w14:paraId="06113868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비용</w:t>
            </w:r>
          </w:p>
        </w:tc>
        <w:tc>
          <w:tcPr>
            <w:tcW w:w="6893" w:type="dxa"/>
            <w:vAlign w:val="center"/>
          </w:tcPr>
          <w:p w14:paraId="6D304E02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gas cost estimate, inference cost, storage overhead</w:t>
            </w:r>
          </w:p>
        </w:tc>
      </w:tr>
      <w:tr w14:paraId="2C986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625" w:type="dxa"/>
            <w:vAlign w:val="center"/>
          </w:tcPr>
          <w:p w14:paraId="4F1A03C2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보안성</w:t>
            </w:r>
          </w:p>
        </w:tc>
        <w:tc>
          <w:tcPr>
            <w:tcW w:w="6893" w:type="dxa"/>
            <w:vAlign w:val="center"/>
          </w:tcPr>
          <w:p w14:paraId="049B3332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attack detection rate, warning lead time, security assumptions</w:t>
            </w:r>
          </w:p>
        </w:tc>
      </w:tr>
    </w:tbl>
    <w:p w14:paraId="53470EE6"/>
    <w:p w14:paraId="1AECE35F">
      <w:pPr>
        <w:jc w:val="center"/>
      </w:pPr>
      <w:r>
        <w:drawing>
          <wp:inline distT="0" distB="0" distL="114300" distR="114300">
            <wp:extent cx="5303520" cy="2322195"/>
            <wp:effectExtent l="0" t="0" r="1143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7682">
      <w:pPr>
        <w:jc w:val="center"/>
      </w:pPr>
      <w:r>
        <w:rPr>
          <w:rFonts w:ascii="Malgun Gothic" w:hAnsi="Malgun Gothic" w:eastAsia="Malgun Gothic"/>
          <w:b/>
          <w:sz w:val="19"/>
        </w:rPr>
        <w:t>그림10-3 평가 지표 우선순위</w:t>
      </w:r>
    </w:p>
    <w:p w14:paraId="1A8364BC">
      <w:pPr>
        <w:pStyle w:val="3"/>
      </w:pPr>
      <w:r>
        <w:rPr>
          <w:rFonts w:ascii="Malgun Gothic" w:hAnsi="Malgun Gothic" w:eastAsia="Malgun Gothic"/>
          <w:b/>
          <w:sz w:val="28"/>
        </w:rPr>
        <w:t>(8) 실험 절차</w:t>
      </w:r>
    </w:p>
    <w:p w14:paraId="5ED4D054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1. 데이터 수집</w:t>
      </w:r>
    </w:p>
    <w:p w14:paraId="715B8E4D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2. 윤리 필터링</w:t>
      </w:r>
    </w:p>
    <w:p w14:paraId="2FF43B12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3. 전처리 및 라벨 정리</w:t>
      </w:r>
    </w:p>
    <w:p w14:paraId="466D00A9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4. 비즈니스 주간선 그래프 구성</w:t>
      </w:r>
    </w:p>
    <w:p w14:paraId="2A83624C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5. 자연어 거래 설명 생성</w:t>
      </w:r>
    </w:p>
    <w:p w14:paraId="2FEE72B6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6. GNN/LoRA-LLM 학습</w:t>
      </w:r>
    </w:p>
    <w:p w14:paraId="55D414EA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7. 비교군 및 ablation 실행</w:t>
      </w:r>
    </w:p>
    <w:p w14:paraId="4885855A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8. TPS/latency/gas/finality 기록</w:t>
      </w:r>
    </w:p>
    <w:p w14:paraId="299CA6FE">
      <w:pPr>
        <w:spacing w:after="120" w:line="317" w:lineRule="auto"/>
      </w:pPr>
      <w:r>
        <w:rPr>
          <w:rFonts w:ascii="Malgun Gothic" w:hAnsi="Malgun Gothic" w:eastAsia="Malgun Gothic"/>
          <w:b w:val="0"/>
          <w:sz w:val="21"/>
        </w:rPr>
        <w:t>9. 결과 분석 및 한계 논의</w:t>
      </w:r>
    </w:p>
    <w:p w14:paraId="19A72098">
      <w:pPr>
        <w:jc w:val="center"/>
      </w:pPr>
      <w:bookmarkStart w:id="0" w:name="_GoBack"/>
      <w:r>
        <w:drawing>
          <wp:inline distT="0" distB="0" distL="114300" distR="114300">
            <wp:extent cx="5303520" cy="2117725"/>
            <wp:effectExtent l="0" t="0" r="1143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2F69A6B">
      <w:pPr>
        <w:jc w:val="center"/>
      </w:pPr>
      <w:r>
        <w:rPr>
          <w:rFonts w:ascii="Malgun Gothic" w:hAnsi="Malgun Gothic" w:eastAsia="Malgun Gothic"/>
          <w:b/>
          <w:sz w:val="19"/>
        </w:rPr>
        <w:t>그림10-4 실험 일정 예정안</w:t>
      </w:r>
    </w:p>
    <w:p w14:paraId="321FBFAE">
      <w:pPr>
        <w:pStyle w:val="3"/>
      </w:pPr>
      <w:r>
        <w:rPr>
          <w:rFonts w:ascii="Malgun Gothic" w:hAnsi="Malgun Gothic" w:eastAsia="Malgun Gothic"/>
          <w:b/>
          <w:sz w:val="28"/>
        </w:rPr>
        <w:t>(9) 표 예정안</w:t>
      </w:r>
    </w:p>
    <w:p w14:paraId="737DE844">
      <w:pPr>
        <w:jc w:val="center"/>
      </w:pPr>
      <w:r>
        <w:rPr>
          <w:rFonts w:ascii="Malgun Gothic" w:hAnsi="Malgun Gothic" w:eastAsia="Malgun Gothic"/>
          <w:b/>
          <w:sz w:val="19"/>
        </w:rPr>
        <w:t>표10-7 표 예정안 목록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1F8A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194F0FAA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표 번호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742BE0C2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표 이름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619C51E8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용도</w:t>
            </w:r>
          </w:p>
        </w:tc>
      </w:tr>
      <w:tr w14:paraId="767F6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5CFF2CC5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표10-1</w:t>
            </w:r>
          </w:p>
        </w:tc>
        <w:tc>
          <w:tcPr>
            <w:tcW w:w="3173" w:type="dxa"/>
            <w:vAlign w:val="center"/>
          </w:tcPr>
          <w:p w14:paraId="277EFC7D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요구사항 점검표</w:t>
            </w:r>
          </w:p>
        </w:tc>
        <w:tc>
          <w:tcPr>
            <w:tcW w:w="3173" w:type="dxa"/>
            <w:vAlign w:val="center"/>
          </w:tcPr>
          <w:p w14:paraId="2E47A60D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과제 요구 반영 확인</w:t>
            </w:r>
          </w:p>
        </w:tc>
      </w:tr>
      <w:tr w14:paraId="789E8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1C7E45E4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표10-2</w:t>
            </w:r>
          </w:p>
        </w:tc>
        <w:tc>
          <w:tcPr>
            <w:tcW w:w="3173" w:type="dxa"/>
            <w:vAlign w:val="center"/>
          </w:tcPr>
          <w:p w14:paraId="57D024F4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연구문제</w:t>
            </w:r>
          </w:p>
        </w:tc>
        <w:tc>
          <w:tcPr>
            <w:tcW w:w="3173" w:type="dxa"/>
            <w:vAlign w:val="center"/>
          </w:tcPr>
          <w:p w14:paraId="53DD13DD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RQ와 실험 연결</w:t>
            </w:r>
          </w:p>
        </w:tc>
      </w:tr>
      <w:tr w14:paraId="24AFF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194BEC0B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표10-3</w:t>
            </w:r>
          </w:p>
        </w:tc>
        <w:tc>
          <w:tcPr>
            <w:tcW w:w="3173" w:type="dxa"/>
            <w:vAlign w:val="center"/>
          </w:tcPr>
          <w:p w14:paraId="2C29E820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연구가설</w:t>
            </w:r>
          </w:p>
        </w:tc>
        <w:tc>
          <w:tcPr>
            <w:tcW w:w="3173" w:type="dxa"/>
            <w:vAlign w:val="center"/>
          </w:tcPr>
          <w:p w14:paraId="4740C793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가설과 검증 기준</w:t>
            </w:r>
          </w:p>
        </w:tc>
      </w:tr>
      <w:tr w14:paraId="78B47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2EA7DC87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표10-4</w:t>
            </w:r>
          </w:p>
        </w:tc>
        <w:tc>
          <w:tcPr>
            <w:tcW w:w="3173" w:type="dxa"/>
            <w:vAlign w:val="center"/>
          </w:tcPr>
          <w:p w14:paraId="62C2FCBD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비교군</w:t>
            </w:r>
          </w:p>
        </w:tc>
        <w:tc>
          <w:tcPr>
            <w:tcW w:w="3173" w:type="dxa"/>
            <w:vAlign w:val="center"/>
          </w:tcPr>
          <w:p w14:paraId="558BFC7C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baseline과 제안 방법</w:t>
            </w:r>
          </w:p>
        </w:tc>
      </w:tr>
      <w:tr w14:paraId="2B6E7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51E03DD8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표10-5</w:t>
            </w:r>
          </w:p>
        </w:tc>
        <w:tc>
          <w:tcPr>
            <w:tcW w:w="3173" w:type="dxa"/>
            <w:vAlign w:val="center"/>
          </w:tcPr>
          <w:p w14:paraId="3FA318C7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실험 환경</w:t>
            </w:r>
          </w:p>
        </w:tc>
        <w:tc>
          <w:tcPr>
            <w:tcW w:w="3173" w:type="dxa"/>
            <w:vAlign w:val="center"/>
          </w:tcPr>
          <w:p w14:paraId="63F5EA35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실험 조건 정리</w:t>
            </w:r>
          </w:p>
        </w:tc>
      </w:tr>
      <w:tr w14:paraId="61FC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2E8565BA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표10-6</w:t>
            </w:r>
          </w:p>
        </w:tc>
        <w:tc>
          <w:tcPr>
            <w:tcW w:w="3173" w:type="dxa"/>
            <w:vAlign w:val="center"/>
          </w:tcPr>
          <w:p w14:paraId="702CA6C6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평가 지표</w:t>
            </w:r>
          </w:p>
        </w:tc>
        <w:tc>
          <w:tcPr>
            <w:tcW w:w="3173" w:type="dxa"/>
            <w:vAlign w:val="center"/>
          </w:tcPr>
          <w:p w14:paraId="1B58463D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측정 지표 정리</w:t>
            </w:r>
          </w:p>
        </w:tc>
      </w:tr>
      <w:tr w14:paraId="50914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11C75D1E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표10-7</w:t>
            </w:r>
          </w:p>
        </w:tc>
        <w:tc>
          <w:tcPr>
            <w:tcW w:w="3173" w:type="dxa"/>
            <w:vAlign w:val="center"/>
          </w:tcPr>
          <w:p w14:paraId="61ECFA8D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탐지 결과</w:t>
            </w:r>
          </w:p>
        </w:tc>
        <w:tc>
          <w:tcPr>
            <w:tcW w:w="3173" w:type="dxa"/>
            <w:vAlign w:val="center"/>
          </w:tcPr>
          <w:p w14:paraId="47D501E6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F1/AUC/FPR/FNR 기록</w:t>
            </w:r>
          </w:p>
        </w:tc>
      </w:tr>
      <w:tr w14:paraId="5C4A9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196594AE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표10-8</w:t>
            </w:r>
          </w:p>
        </w:tc>
        <w:tc>
          <w:tcPr>
            <w:tcW w:w="3173" w:type="dxa"/>
            <w:vAlign w:val="center"/>
          </w:tcPr>
          <w:p w14:paraId="62F85608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블록체인 성능</w:t>
            </w:r>
          </w:p>
        </w:tc>
        <w:tc>
          <w:tcPr>
            <w:tcW w:w="3173" w:type="dxa"/>
            <w:vAlign w:val="center"/>
          </w:tcPr>
          <w:p w14:paraId="28EB478A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TPS/latency/gas/finality 기록</w:t>
            </w:r>
          </w:p>
        </w:tc>
      </w:tr>
      <w:tr w14:paraId="294F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35AFD54A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표10-9</w:t>
            </w:r>
          </w:p>
        </w:tc>
        <w:tc>
          <w:tcPr>
            <w:tcW w:w="3173" w:type="dxa"/>
            <w:vAlign w:val="center"/>
          </w:tcPr>
          <w:p w14:paraId="232CBF90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Ablation 결과</w:t>
            </w:r>
          </w:p>
        </w:tc>
        <w:tc>
          <w:tcPr>
            <w:tcW w:w="3173" w:type="dxa"/>
            <w:vAlign w:val="center"/>
          </w:tcPr>
          <w:p w14:paraId="46D2D581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모듈 기여도 확인</w:t>
            </w:r>
          </w:p>
        </w:tc>
      </w:tr>
    </w:tbl>
    <w:p w14:paraId="09142C2D"/>
    <w:p w14:paraId="1B99B304">
      <w:pPr>
        <w:pStyle w:val="3"/>
      </w:pPr>
      <w:r>
        <w:rPr>
          <w:rFonts w:ascii="Malgun Gothic" w:hAnsi="Malgun Gothic" w:eastAsia="Malgun Gothic"/>
          <w:b/>
          <w:sz w:val="28"/>
        </w:rPr>
        <w:t>(10) 그림 예정안</w:t>
      </w:r>
    </w:p>
    <w:p w14:paraId="1B913655">
      <w:pPr>
        <w:jc w:val="center"/>
      </w:pPr>
      <w:r>
        <w:rPr>
          <w:rFonts w:ascii="Malgun Gothic" w:hAnsi="Malgun Gothic" w:eastAsia="Malgun Gothic"/>
          <w:b/>
          <w:sz w:val="19"/>
        </w:rPr>
        <w:t>표10-8 그림 예정안 목록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1BD2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35566FD0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그림 번호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41EB34D4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그림 이름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340281A1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용도</w:t>
            </w:r>
          </w:p>
        </w:tc>
      </w:tr>
      <w:tr w14:paraId="13BDE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31FEF539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그림10-1</w:t>
            </w:r>
          </w:p>
        </w:tc>
        <w:tc>
          <w:tcPr>
            <w:tcW w:w="3173" w:type="dxa"/>
            <w:vAlign w:val="center"/>
          </w:tcPr>
          <w:p w14:paraId="4C8B5F35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실험 검증 흐름도</w:t>
            </w:r>
          </w:p>
        </w:tc>
        <w:tc>
          <w:tcPr>
            <w:tcW w:w="3173" w:type="dxa"/>
            <w:vAlign w:val="center"/>
          </w:tcPr>
          <w:p w14:paraId="6AB6DA3B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전체 흐름</w:t>
            </w:r>
          </w:p>
        </w:tc>
      </w:tr>
      <w:tr w14:paraId="6472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5B1B5F63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그림10-2</w:t>
            </w:r>
          </w:p>
        </w:tc>
        <w:tc>
          <w:tcPr>
            <w:tcW w:w="3173" w:type="dxa"/>
            <w:vAlign w:val="center"/>
          </w:tcPr>
          <w:p w14:paraId="0C12BC9C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비교군 설계도</w:t>
            </w:r>
          </w:p>
        </w:tc>
        <w:tc>
          <w:tcPr>
            <w:tcW w:w="3173" w:type="dxa"/>
            <w:vAlign w:val="center"/>
          </w:tcPr>
          <w:p w14:paraId="7FB06829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baseline 구조</w:t>
            </w:r>
          </w:p>
        </w:tc>
      </w:tr>
      <w:tr w14:paraId="623A3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53833D56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그림10-3</w:t>
            </w:r>
          </w:p>
        </w:tc>
        <w:tc>
          <w:tcPr>
            <w:tcW w:w="3173" w:type="dxa"/>
            <w:vAlign w:val="center"/>
          </w:tcPr>
          <w:p w14:paraId="75D4975E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평가 지표 그림</w:t>
            </w:r>
          </w:p>
        </w:tc>
        <w:tc>
          <w:tcPr>
            <w:tcW w:w="3173" w:type="dxa"/>
            <w:vAlign w:val="center"/>
          </w:tcPr>
          <w:p w14:paraId="11F8224B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평가 중점</w:t>
            </w:r>
          </w:p>
        </w:tc>
      </w:tr>
      <w:tr w14:paraId="2CBE9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2C4C03FE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그림10-4</w:t>
            </w:r>
          </w:p>
        </w:tc>
        <w:tc>
          <w:tcPr>
            <w:tcW w:w="3173" w:type="dxa"/>
            <w:vAlign w:val="center"/>
          </w:tcPr>
          <w:p w14:paraId="59EAEF2A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실험 일정도</w:t>
            </w:r>
          </w:p>
        </w:tc>
        <w:tc>
          <w:tcPr>
            <w:tcW w:w="3173" w:type="dxa"/>
            <w:vAlign w:val="center"/>
          </w:tcPr>
          <w:p w14:paraId="2DBED9C0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수행 순서</w:t>
            </w:r>
          </w:p>
        </w:tc>
      </w:tr>
      <w:tr w14:paraId="79784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3B721442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그림10-5</w:t>
            </w:r>
          </w:p>
        </w:tc>
        <w:tc>
          <w:tcPr>
            <w:tcW w:w="3173" w:type="dxa"/>
            <w:vAlign w:val="center"/>
          </w:tcPr>
          <w:p w14:paraId="16C14E41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보안성 가정 그림</w:t>
            </w:r>
          </w:p>
        </w:tc>
        <w:tc>
          <w:tcPr>
            <w:tcW w:w="3173" w:type="dxa"/>
            <w:vAlign w:val="center"/>
          </w:tcPr>
          <w:p w14:paraId="107CF2FB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윤리/보안 경계</w:t>
            </w:r>
          </w:p>
        </w:tc>
      </w:tr>
      <w:tr w14:paraId="2763B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4384E73B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그림10-6</w:t>
            </w:r>
          </w:p>
        </w:tc>
        <w:tc>
          <w:tcPr>
            <w:tcW w:w="3173" w:type="dxa"/>
            <w:vAlign w:val="center"/>
          </w:tcPr>
          <w:p w14:paraId="437182BA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성능 비교 그래프</w:t>
            </w:r>
          </w:p>
        </w:tc>
        <w:tc>
          <w:tcPr>
            <w:tcW w:w="3173" w:type="dxa"/>
            <w:vAlign w:val="center"/>
          </w:tcPr>
          <w:p w14:paraId="47C4BB71">
            <w:pPr>
              <w:spacing w:after="0" w:line="240" w:lineRule="auto"/>
              <w:jc w:val="center"/>
              <w:rPr>
                <w:rFonts w:ascii="Malgun Gothic" w:hAnsi="Malgun Gothic" w:eastAsia="Malgun Gothic"/>
                <w:b w:val="0"/>
                <w:sz w:val="18"/>
                <w:szCs w:val="18"/>
              </w:rPr>
            </w:pPr>
            <w:r>
              <w:rPr>
                <w:rFonts w:ascii="Malgun Gothic" w:hAnsi="Malgun Gothic" w:eastAsia="Malgun Gothic"/>
                <w:b w:val="0"/>
                <w:sz w:val="18"/>
                <w:szCs w:val="18"/>
              </w:rPr>
              <w:t>결과 시각화 예정</w:t>
            </w:r>
          </w:p>
        </w:tc>
      </w:tr>
    </w:tbl>
    <w:p w14:paraId="6A59D4CE">
      <w:pPr>
        <w:pStyle w:val="3"/>
      </w:pPr>
      <w:r>
        <w:rPr>
          <w:rFonts w:ascii="Malgun Gothic" w:hAnsi="Malgun Gothic" w:eastAsia="Malgun Gothic"/>
          <w:b/>
          <w:sz w:val="28"/>
        </w:rPr>
        <w:t>블록체인 특화 지표 및 보안성 가정</w:t>
      </w:r>
    </w:p>
    <w:p w14:paraId="1325491D">
      <w:pPr>
        <w:spacing w:after="120" w:line="317" w:lineRule="auto"/>
        <w:ind w:firstLine="425"/>
      </w:pPr>
      <w:r>
        <w:rPr>
          <w:rFonts w:ascii="Malgun Gothic" w:hAnsi="Malgun Gothic" w:eastAsia="Malgun Gothic"/>
          <w:b w:val="0"/>
          <w:sz w:val="21"/>
        </w:rPr>
        <w:t>본 실험은 TPS, latency, gas cost, finality, security assumption을 포함한다. TPS는 처리량, latency는 추적/전처리/추론/경고 지연, gas cost는 온체인 검증 또는 경고 로직 이전 시 비용 추정, finality는 거래 확정성 확인 시간, security assumption은 공개 온체인 데이터, trace 접근 가능성, 라벨 신뢰성, 개인정보 미사용, 실제 공격 미수행을 의미한다.</w:t>
      </w:r>
    </w:p>
    <w:p w14:paraId="7CE4953F">
      <w:pPr>
        <w:jc w:val="center"/>
      </w:pPr>
      <w:r>
        <w:drawing>
          <wp:inline distT="0" distB="0" distL="114300" distR="114300">
            <wp:extent cx="5486400" cy="2134235"/>
            <wp:effectExtent l="0" t="0" r="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02EC">
      <w:pPr>
        <w:jc w:val="center"/>
      </w:pPr>
      <w:r>
        <w:rPr>
          <w:rFonts w:ascii="Malgun Gothic" w:hAnsi="Malgun Gothic" w:eastAsia="Malgun Gothic"/>
          <w:b/>
          <w:sz w:val="19"/>
        </w:rPr>
        <w:t>그림10-5 보안성 가정 및 윤리 경계</w:t>
      </w:r>
    </w:p>
    <w:p w14:paraId="35F46F37">
      <w:pPr>
        <w:pStyle w:val="3"/>
      </w:pPr>
      <w:r>
        <w:rPr>
          <w:rFonts w:ascii="Malgun Gothic" w:hAnsi="Malgun Gothic" w:eastAsia="Malgun Gothic"/>
          <w:b/>
          <w:sz w:val="28"/>
        </w:rPr>
        <w:t>예상 결과와 한계</w:t>
      </w:r>
    </w:p>
    <w:p w14:paraId="72C0BF5F">
      <w:pPr>
        <w:spacing w:after="120" w:line="317" w:lineRule="auto"/>
        <w:ind w:firstLine="425"/>
        <w:rPr>
          <w:rFonts w:ascii="Malgun Gothic" w:hAnsi="Malgun Gothic" w:eastAsia="Malgun Gothic"/>
          <w:b w:val="0"/>
          <w:sz w:val="21"/>
        </w:rPr>
      </w:pPr>
      <w:r>
        <w:rPr>
          <w:rFonts w:ascii="Malgun Gothic" w:hAnsi="Malgun Gothic" w:eastAsia="Malgun Gothic"/>
          <w:b w:val="0"/>
          <w:sz w:val="21"/>
        </w:rPr>
        <w:t>AIB2PSec는 탐지 성능과 유사 프로젝트 경고 측면에서 기존 방법보다 우수할 것으로 예상된다. 다만 그래프 구성, 자연어 설명 생성, 대형 모델 추론이 포함되어 latency와 계산 자원이 증가할 수 있으며, 라벨 품질과 trace 데이터 완전성이 결과에 영향을 줄 수 있다.</w:t>
      </w:r>
    </w:p>
    <w:p w14:paraId="23FB386C">
      <w:pPr>
        <w:spacing w:after="120" w:line="317" w:lineRule="auto"/>
        <w:ind w:firstLine="425"/>
        <w:rPr>
          <w:rFonts w:ascii="Malgun Gothic" w:hAnsi="Malgun Gothic" w:eastAsia="Malgun Gothic"/>
          <w:b w:val="0"/>
          <w:sz w:val="21"/>
        </w:rPr>
      </w:pPr>
    </w:p>
    <w:p w14:paraId="588AD433">
      <w:pPr>
        <w:pStyle w:val="3"/>
        <w:jc w:val="center"/>
      </w:pPr>
      <w:r>
        <w:rPr>
          <w:rFonts w:ascii="Malgun Gothic" w:hAnsi="Malgun Gothic" w:eastAsia="Malgun Gothic"/>
          <w:b/>
          <w:sz w:val="28"/>
        </w:rPr>
        <w:t>참고문헌</w:t>
      </w:r>
    </w:p>
    <w:p w14:paraId="7B2F973A">
      <w:pPr>
        <w:spacing w:after="120" w:line="317" w:lineRule="auto"/>
      </w:pPr>
      <w:r>
        <w:rPr>
          <w:rFonts w:ascii="Malgun Gothic" w:hAnsi="Malgun Gothic" w:eastAsia="Malgun Gothic"/>
          <w:b w:val="0"/>
          <w:sz w:val="18"/>
        </w:rPr>
        <w:t>[1] Ndiaye M., Diallo T. A., Konate K. Adefguard: Anomaly detection framework based on Ethereum smart contracts behaviours. Blockchain: Research and Applications, 2023.</w:t>
      </w:r>
    </w:p>
    <w:p w14:paraId="7493A63A">
      <w:pPr>
        <w:spacing w:after="120" w:line="317" w:lineRule="auto"/>
      </w:pPr>
      <w:r>
        <w:rPr>
          <w:rFonts w:ascii="Malgun Gothic" w:hAnsi="Malgun Gothic" w:eastAsia="Malgun Gothic"/>
          <w:b w:val="0"/>
          <w:sz w:val="18"/>
        </w:rPr>
        <w:t>[2] Hu T. et al. Transaction-based classification and detection approach for Ethereum smart contract. Information Processing &amp; Management, 2021.</w:t>
      </w:r>
    </w:p>
    <w:p w14:paraId="6F952138">
      <w:pPr>
        <w:spacing w:after="120" w:line="317" w:lineRule="auto"/>
      </w:pPr>
      <w:r>
        <w:rPr>
          <w:rFonts w:ascii="Malgun Gothic" w:hAnsi="Malgun Gothic" w:eastAsia="Malgun Gothic"/>
          <w:b w:val="0"/>
          <w:sz w:val="18"/>
        </w:rPr>
        <w:t>[3] Song A., Seo E., Kim H. Anomaly VAE-Transformer: A deep learning approach for anomaly detection in decentralized finance. IEEE Access, 2023.</w:t>
      </w:r>
    </w:p>
    <w:p w14:paraId="14D3580B">
      <w:pPr>
        <w:spacing w:after="120" w:line="317" w:lineRule="auto"/>
      </w:pPr>
      <w:r>
        <w:rPr>
          <w:rFonts w:ascii="Malgun Gothic" w:hAnsi="Malgun Gothic" w:eastAsia="Malgun Gothic"/>
          <w:b w:val="0"/>
          <w:sz w:val="18"/>
        </w:rPr>
        <w:t>[4] Liu Z. et al. Combining graph neural networks with expert knowledge for smart contract vulnerability detection. IEEE TKDE, 2021.</w:t>
      </w:r>
    </w:p>
    <w:p w14:paraId="7DB6E6E5">
      <w:pPr>
        <w:spacing w:after="120" w:line="317" w:lineRule="auto"/>
      </w:pPr>
      <w:r>
        <w:rPr>
          <w:rFonts w:ascii="Malgun Gothic" w:hAnsi="Malgun Gothic" w:eastAsia="Malgun Gothic"/>
          <w:b w:val="0"/>
          <w:sz w:val="18"/>
        </w:rPr>
        <w:t>[5] Luo F. et al. SCVHunter: Smart contract vulnerability detection based on heterogeneous graph attention network. ICSE, 2024.</w:t>
      </w:r>
    </w:p>
    <w:p w14:paraId="13E4D14B">
      <w:pPr>
        <w:spacing w:after="120" w:line="317" w:lineRule="auto"/>
      </w:pPr>
      <w:r>
        <w:rPr>
          <w:rFonts w:ascii="Malgun Gothic" w:hAnsi="Malgun Gothic" w:eastAsia="Malgun Gothic"/>
          <w:b w:val="0"/>
          <w:sz w:val="18"/>
        </w:rPr>
        <w:t>[6] Duan L. et al. A new smart contract anomaly detection method by fusing opcode and source code features for blockchain services. IEEE TNSM, 2023.</w:t>
      </w:r>
    </w:p>
    <w:p w14:paraId="7E0FBCE4">
      <w:pPr>
        <w:spacing w:after="120" w:line="317" w:lineRule="auto"/>
        <w:rPr>
          <w:rFonts w:ascii="Malgun Gothic" w:hAnsi="Malgun Gothic" w:eastAsia="Malgun Gothic"/>
          <w:b w:val="0"/>
          <w:sz w:val="18"/>
        </w:rPr>
      </w:pPr>
      <w:r>
        <w:rPr>
          <w:rFonts w:ascii="Malgun Gothic" w:hAnsi="Malgun Gothic" w:eastAsia="Malgun Gothic"/>
          <w:b w:val="0"/>
          <w:sz w:val="18"/>
        </w:rPr>
        <w:t>[7] Liang R. et al. Vulseye: Detect smart contract vulnerabilities via stateful directed graybox fuzzing. IEEE TIFS, 2025.</w:t>
      </w:r>
    </w:p>
    <w:p w14:paraId="64490F02">
      <w:pPr>
        <w:spacing w:after="120" w:line="317" w:lineRule="auto"/>
        <w:rPr>
          <w:rFonts w:ascii="Malgun Gothic" w:hAnsi="Malgun Gothic" w:eastAsia="Malgun Gothic"/>
          <w:b w:val="0"/>
          <w:sz w:val="18"/>
        </w:rPr>
      </w:pPr>
    </w:p>
    <w:p w14:paraId="7E96392B">
      <w:pPr>
        <w:spacing w:after="120" w:line="317" w:lineRule="auto"/>
        <w:rPr>
          <w:rFonts w:ascii="Malgun Gothic" w:hAnsi="Malgun Gothic" w:eastAsia="Malgun Gothic"/>
          <w:b w:val="0"/>
          <w:sz w:val="18"/>
        </w:rPr>
      </w:pPr>
    </w:p>
    <w:p w14:paraId="7E6F7C5D">
      <w:pPr>
        <w:spacing w:after="120" w:line="317" w:lineRule="auto"/>
        <w:rPr>
          <w:rFonts w:ascii="Malgun Gothic" w:hAnsi="Malgun Gothic" w:eastAsia="Malgun Gothic"/>
          <w:b w:val="0"/>
          <w:sz w:val="18"/>
        </w:rPr>
      </w:pPr>
    </w:p>
    <w:p w14:paraId="3F5B43F1">
      <w:pPr>
        <w:spacing w:after="120" w:line="317" w:lineRule="auto"/>
        <w:rPr>
          <w:rFonts w:ascii="Malgun Gothic" w:hAnsi="Malgun Gothic" w:eastAsia="Malgun Gothic"/>
          <w:b w:val="0"/>
          <w:sz w:val="18"/>
        </w:rPr>
      </w:pPr>
    </w:p>
    <w:p w14:paraId="7784F620">
      <w:pPr>
        <w:spacing w:after="120" w:line="317" w:lineRule="auto"/>
        <w:rPr>
          <w:rFonts w:ascii="Malgun Gothic" w:hAnsi="Malgun Gothic" w:eastAsia="Malgun Gothic"/>
          <w:b w:val="0"/>
          <w:sz w:val="18"/>
        </w:rPr>
      </w:pPr>
    </w:p>
    <w:p w14:paraId="7203C2C7">
      <w:pPr>
        <w:spacing w:after="120" w:line="317" w:lineRule="auto"/>
        <w:rPr>
          <w:rFonts w:ascii="Malgun Gothic" w:hAnsi="Malgun Gothic" w:eastAsia="Malgun Gothic"/>
          <w:b w:val="0"/>
          <w:sz w:val="18"/>
        </w:rPr>
      </w:pPr>
    </w:p>
    <w:p w14:paraId="614ECFCF">
      <w:pPr>
        <w:pStyle w:val="31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2"/>
        </w:rPr>
        <w:t>第10周产出物</w:t>
      </w:r>
    </w:p>
    <w:p w14:paraId="14590D12">
      <w:pPr>
        <w:jc w:val="center"/>
      </w:pPr>
      <w:r>
        <w:rPr>
          <w:rFonts w:ascii="微软雅黑" w:hAnsi="微软雅黑" w:eastAsia="微软雅黑"/>
          <w:b/>
          <w:sz w:val="26"/>
        </w:rPr>
        <w:t>实验计划书</w:t>
      </w:r>
    </w:p>
    <w:p w14:paraId="49462A57">
      <w:pPr>
        <w:jc w:val="center"/>
      </w:pPr>
      <w:r>
        <w:rPr>
          <w:rFonts w:ascii="微软雅黑" w:hAnsi="微软雅黑" w:eastAsia="微软雅黑"/>
          <w:b w:val="0"/>
          <w:sz w:val="21"/>
        </w:rPr>
        <w:t>论文题目：基于人工智能的智能合约项目自动化恶意检测技术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作者：천희(CHEN XI) / 50250336</w:t>
      </w:r>
    </w:p>
    <w:p w14:paraId="39433ECD">
      <w:pPr>
        <w:pStyle w:val="3"/>
      </w:pPr>
      <w:r>
        <w:rPr>
          <w:rFonts w:hint="eastAsia" w:ascii="微软雅黑" w:hAnsi="微软雅黑" w:eastAsia="微软雅黑"/>
          <w:b/>
          <w:sz w:val="28"/>
          <w:lang w:val="en-US" w:eastAsia="zh-CN"/>
        </w:rPr>
        <w:t>1</w:t>
      </w:r>
      <w:r>
        <w:rPr>
          <w:rFonts w:ascii="微软雅黑" w:hAnsi="微软雅黑" w:eastAsia="微软雅黑"/>
          <w:b/>
          <w:sz w:val="28"/>
        </w:rPr>
        <w:t>. 实验计划书概要</w:t>
      </w:r>
    </w:p>
    <w:p w14:paraId="40169596">
      <w:pPr>
        <w:spacing w:after="120" w:line="317" w:lineRule="auto"/>
        <w:ind w:firstLine="425"/>
      </w:pPr>
      <w:r>
        <w:rPr>
          <w:rFonts w:ascii="微软雅黑" w:hAnsi="微软雅黑" w:eastAsia="微软雅黑"/>
          <w:b w:val="0"/>
          <w:sz w:val="21"/>
        </w:rPr>
        <w:t>本文档用于验证 AIB2PSec 框架与现有方法相比的优势和局限，并完整包含实验目的、研究问题、研究假设、实施范围、对照组、实验环境、评价指标、实验程序、拟用表格和拟用图表。同时，根据区块链主题要求，实验计划加入 TPS、latency、gas cost、finality 和 security assumption。</w:t>
      </w:r>
    </w:p>
    <w:p w14:paraId="167AD238">
      <w:pPr>
        <w:jc w:val="center"/>
      </w:pPr>
      <w:r>
        <w:rPr>
          <w:rFonts w:ascii="微软雅黑" w:hAnsi="微软雅黑" w:eastAsia="微软雅黑"/>
          <w:b/>
          <w:sz w:val="19"/>
        </w:rPr>
        <w:t>表10-1 作业要求满足情况检查表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1855"/>
        <w:gridCol w:w="1950"/>
        <w:gridCol w:w="4847"/>
      </w:tblGrid>
      <w:tr w14:paraId="0535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0272116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1855" w:type="dxa"/>
            <w:shd w:val="clear" w:color="auto" w:fill="D9EAF7"/>
            <w:vAlign w:val="center"/>
          </w:tcPr>
          <w:p w14:paraId="672E7C4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要求项目</w:t>
            </w:r>
          </w:p>
        </w:tc>
        <w:tc>
          <w:tcPr>
            <w:tcW w:w="1950" w:type="dxa"/>
            <w:shd w:val="clear" w:color="auto" w:fill="D9EAF7"/>
            <w:vAlign w:val="center"/>
          </w:tcPr>
          <w:p w14:paraId="45FEDD0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反映情况</w:t>
            </w:r>
          </w:p>
        </w:tc>
        <w:tc>
          <w:tcPr>
            <w:tcW w:w="4847" w:type="dxa"/>
            <w:shd w:val="clear" w:color="auto" w:fill="D9EAF7"/>
            <w:vAlign w:val="center"/>
          </w:tcPr>
          <w:p w14:paraId="22E751F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08A1C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64" w:type="dxa"/>
            <w:vAlign w:val="center"/>
          </w:tcPr>
          <w:p w14:paraId="214AC33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(1)</w:t>
            </w:r>
          </w:p>
        </w:tc>
        <w:tc>
          <w:tcPr>
            <w:tcW w:w="1855" w:type="dxa"/>
            <w:vAlign w:val="center"/>
          </w:tcPr>
          <w:p w14:paraId="3F12CDA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实验目的</w:t>
            </w:r>
          </w:p>
        </w:tc>
        <w:tc>
          <w:tcPr>
            <w:tcW w:w="1950" w:type="dxa"/>
            <w:vAlign w:val="center"/>
          </w:tcPr>
          <w:p w14:paraId="085DC6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已包含</w:t>
            </w:r>
          </w:p>
        </w:tc>
        <w:tc>
          <w:tcPr>
            <w:tcW w:w="4847" w:type="dxa"/>
            <w:vAlign w:val="center"/>
          </w:tcPr>
          <w:p w14:paraId="188604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验证提出方法的优势和局限</w:t>
            </w:r>
          </w:p>
        </w:tc>
      </w:tr>
      <w:tr w14:paraId="73EAF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64" w:type="dxa"/>
            <w:vAlign w:val="center"/>
          </w:tcPr>
          <w:p w14:paraId="4314016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(2)</w:t>
            </w:r>
          </w:p>
        </w:tc>
        <w:tc>
          <w:tcPr>
            <w:tcW w:w="1855" w:type="dxa"/>
            <w:vAlign w:val="center"/>
          </w:tcPr>
          <w:p w14:paraId="08C167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研究问题</w:t>
            </w:r>
          </w:p>
        </w:tc>
        <w:tc>
          <w:tcPr>
            <w:tcW w:w="1950" w:type="dxa"/>
            <w:vAlign w:val="center"/>
          </w:tcPr>
          <w:p w14:paraId="1CBD28F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已包含</w:t>
            </w:r>
          </w:p>
        </w:tc>
        <w:tc>
          <w:tcPr>
            <w:tcW w:w="4847" w:type="dxa"/>
            <w:vAlign w:val="center"/>
          </w:tcPr>
          <w:p w14:paraId="7238CE9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RQ1~RQ5</w:t>
            </w:r>
          </w:p>
        </w:tc>
      </w:tr>
      <w:tr w14:paraId="2A68E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64" w:type="dxa"/>
            <w:vAlign w:val="center"/>
          </w:tcPr>
          <w:p w14:paraId="4467590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(3)</w:t>
            </w:r>
          </w:p>
        </w:tc>
        <w:tc>
          <w:tcPr>
            <w:tcW w:w="1855" w:type="dxa"/>
            <w:vAlign w:val="center"/>
          </w:tcPr>
          <w:p w14:paraId="3FD6BC3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研究假设</w:t>
            </w:r>
          </w:p>
        </w:tc>
        <w:tc>
          <w:tcPr>
            <w:tcW w:w="1950" w:type="dxa"/>
            <w:vAlign w:val="center"/>
          </w:tcPr>
          <w:p w14:paraId="5BC25AC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已包含</w:t>
            </w:r>
          </w:p>
        </w:tc>
        <w:tc>
          <w:tcPr>
            <w:tcW w:w="4847" w:type="dxa"/>
            <w:vAlign w:val="center"/>
          </w:tcPr>
          <w:p w14:paraId="4080084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H1~H5</w:t>
            </w:r>
          </w:p>
        </w:tc>
      </w:tr>
      <w:tr w14:paraId="6C26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64" w:type="dxa"/>
            <w:vAlign w:val="center"/>
          </w:tcPr>
          <w:p w14:paraId="4B03901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(4)</w:t>
            </w:r>
          </w:p>
        </w:tc>
        <w:tc>
          <w:tcPr>
            <w:tcW w:w="1855" w:type="dxa"/>
            <w:vAlign w:val="center"/>
          </w:tcPr>
          <w:p w14:paraId="5902F11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实施范围</w:t>
            </w:r>
          </w:p>
        </w:tc>
        <w:tc>
          <w:tcPr>
            <w:tcW w:w="1950" w:type="dxa"/>
            <w:vAlign w:val="center"/>
          </w:tcPr>
          <w:p w14:paraId="7C50105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已包含</w:t>
            </w:r>
          </w:p>
        </w:tc>
        <w:tc>
          <w:tcPr>
            <w:tcW w:w="4847" w:type="dxa"/>
            <w:vAlign w:val="center"/>
          </w:tcPr>
          <w:p w14:paraId="1BCA3E3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数据范围与安全边界</w:t>
            </w:r>
          </w:p>
        </w:tc>
      </w:tr>
      <w:tr w14:paraId="468F2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64" w:type="dxa"/>
            <w:vAlign w:val="center"/>
          </w:tcPr>
          <w:p w14:paraId="63EE6FF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(5)</w:t>
            </w:r>
          </w:p>
        </w:tc>
        <w:tc>
          <w:tcPr>
            <w:tcW w:w="1855" w:type="dxa"/>
            <w:vAlign w:val="center"/>
          </w:tcPr>
          <w:p w14:paraId="3D11DC3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对照组</w:t>
            </w:r>
          </w:p>
        </w:tc>
        <w:tc>
          <w:tcPr>
            <w:tcW w:w="1950" w:type="dxa"/>
            <w:vAlign w:val="center"/>
          </w:tcPr>
          <w:p w14:paraId="272DBE0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已包含</w:t>
            </w:r>
          </w:p>
        </w:tc>
        <w:tc>
          <w:tcPr>
            <w:tcW w:w="4847" w:type="dxa"/>
            <w:vAlign w:val="center"/>
          </w:tcPr>
          <w:p w14:paraId="1F30A7F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Baseline、Ablation、Experimental</w:t>
            </w:r>
          </w:p>
        </w:tc>
      </w:tr>
      <w:tr w14:paraId="455A7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64" w:type="dxa"/>
            <w:vAlign w:val="center"/>
          </w:tcPr>
          <w:p w14:paraId="1B06358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(6)</w:t>
            </w:r>
          </w:p>
        </w:tc>
        <w:tc>
          <w:tcPr>
            <w:tcW w:w="1855" w:type="dxa"/>
            <w:vAlign w:val="center"/>
          </w:tcPr>
          <w:p w14:paraId="0FF8804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实验环境</w:t>
            </w:r>
          </w:p>
        </w:tc>
        <w:tc>
          <w:tcPr>
            <w:tcW w:w="1950" w:type="dxa"/>
            <w:vAlign w:val="center"/>
          </w:tcPr>
          <w:p w14:paraId="5D888EE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已包含</w:t>
            </w:r>
          </w:p>
        </w:tc>
        <w:tc>
          <w:tcPr>
            <w:tcW w:w="4847" w:type="dxa"/>
            <w:vAlign w:val="center"/>
          </w:tcPr>
          <w:p w14:paraId="148039C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数据、区块链、硬件/软件</w:t>
            </w:r>
          </w:p>
        </w:tc>
      </w:tr>
      <w:tr w14:paraId="3F58E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64" w:type="dxa"/>
            <w:vAlign w:val="center"/>
          </w:tcPr>
          <w:p w14:paraId="648C074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(7)</w:t>
            </w:r>
          </w:p>
        </w:tc>
        <w:tc>
          <w:tcPr>
            <w:tcW w:w="1855" w:type="dxa"/>
            <w:vAlign w:val="center"/>
          </w:tcPr>
          <w:p w14:paraId="53CB769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评价指标</w:t>
            </w:r>
          </w:p>
        </w:tc>
        <w:tc>
          <w:tcPr>
            <w:tcW w:w="1950" w:type="dxa"/>
            <w:vAlign w:val="center"/>
          </w:tcPr>
          <w:p w14:paraId="6A03A2F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已包含</w:t>
            </w:r>
          </w:p>
        </w:tc>
        <w:tc>
          <w:tcPr>
            <w:tcW w:w="4847" w:type="dxa"/>
            <w:vAlign w:val="center"/>
          </w:tcPr>
          <w:p w14:paraId="4F643D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Accuracy、F1、AUC、TPS、latency、gas cost</w:t>
            </w:r>
          </w:p>
        </w:tc>
      </w:tr>
      <w:tr w14:paraId="71C3C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64" w:type="dxa"/>
            <w:vAlign w:val="center"/>
          </w:tcPr>
          <w:p w14:paraId="42D1155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(8)</w:t>
            </w:r>
          </w:p>
        </w:tc>
        <w:tc>
          <w:tcPr>
            <w:tcW w:w="1855" w:type="dxa"/>
            <w:vAlign w:val="center"/>
          </w:tcPr>
          <w:p w14:paraId="1E28600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实验程序</w:t>
            </w:r>
          </w:p>
        </w:tc>
        <w:tc>
          <w:tcPr>
            <w:tcW w:w="1950" w:type="dxa"/>
            <w:vAlign w:val="center"/>
          </w:tcPr>
          <w:p w14:paraId="7642E70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已包含</w:t>
            </w:r>
          </w:p>
        </w:tc>
        <w:tc>
          <w:tcPr>
            <w:tcW w:w="4847" w:type="dxa"/>
            <w:vAlign w:val="center"/>
          </w:tcPr>
          <w:p w14:paraId="25B2B0A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收集-预处理-训练-比较-分析</w:t>
            </w:r>
          </w:p>
        </w:tc>
      </w:tr>
      <w:tr w14:paraId="5A56B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64" w:type="dxa"/>
            <w:vAlign w:val="center"/>
          </w:tcPr>
          <w:p w14:paraId="0C334C4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(9)</w:t>
            </w:r>
          </w:p>
        </w:tc>
        <w:tc>
          <w:tcPr>
            <w:tcW w:w="1855" w:type="dxa"/>
            <w:vAlign w:val="center"/>
          </w:tcPr>
          <w:p w14:paraId="0BB19F8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拟用表格</w:t>
            </w:r>
          </w:p>
        </w:tc>
        <w:tc>
          <w:tcPr>
            <w:tcW w:w="1950" w:type="dxa"/>
            <w:vAlign w:val="center"/>
          </w:tcPr>
          <w:p w14:paraId="3FE353B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已包含</w:t>
            </w:r>
          </w:p>
        </w:tc>
        <w:tc>
          <w:tcPr>
            <w:tcW w:w="4847" w:type="dxa"/>
            <w:vAlign w:val="center"/>
          </w:tcPr>
          <w:p w14:paraId="514540D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结果表设计</w:t>
            </w:r>
          </w:p>
        </w:tc>
      </w:tr>
      <w:tr w14:paraId="61F23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64" w:type="dxa"/>
            <w:vAlign w:val="center"/>
          </w:tcPr>
          <w:p w14:paraId="39B4ED6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(10)</w:t>
            </w:r>
          </w:p>
        </w:tc>
        <w:tc>
          <w:tcPr>
            <w:tcW w:w="1855" w:type="dxa"/>
            <w:vAlign w:val="center"/>
          </w:tcPr>
          <w:p w14:paraId="64AADFC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拟用图表</w:t>
            </w:r>
          </w:p>
        </w:tc>
        <w:tc>
          <w:tcPr>
            <w:tcW w:w="1950" w:type="dxa"/>
            <w:vAlign w:val="center"/>
          </w:tcPr>
          <w:p w14:paraId="6383D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已包含</w:t>
            </w:r>
          </w:p>
        </w:tc>
        <w:tc>
          <w:tcPr>
            <w:tcW w:w="4847" w:type="dxa"/>
            <w:vAlign w:val="center"/>
          </w:tcPr>
          <w:p w14:paraId="03C27A1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流程图和图表设计</w:t>
            </w:r>
          </w:p>
        </w:tc>
      </w:tr>
    </w:tbl>
    <w:p w14:paraId="79648B6C"/>
    <w:p w14:paraId="3062E352">
      <w:pPr>
        <w:jc w:val="center"/>
      </w:pPr>
      <w:r>
        <w:drawing>
          <wp:inline distT="0" distB="0" distL="114300" distR="114300">
            <wp:extent cx="5669280" cy="2080895"/>
            <wp:effectExtent l="0" t="0" r="7620" b="1460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FD59">
      <w:pPr>
        <w:jc w:val="center"/>
      </w:pPr>
      <w:r>
        <w:rPr>
          <w:rFonts w:ascii="微软雅黑" w:hAnsi="微软雅黑" w:eastAsia="微软雅黑"/>
          <w:b/>
          <w:sz w:val="19"/>
        </w:rPr>
        <w:t>图10-1 实验验证流程图</w:t>
      </w:r>
    </w:p>
    <w:p w14:paraId="10CEDB5C">
      <w:pPr>
        <w:pStyle w:val="3"/>
      </w:pPr>
      <w:r>
        <w:rPr>
          <w:rFonts w:ascii="微软雅黑" w:hAnsi="微软雅黑" w:eastAsia="微软雅黑"/>
          <w:b/>
          <w:sz w:val="28"/>
        </w:rPr>
        <w:t>(1) 实验目的</w:t>
      </w:r>
    </w:p>
    <w:p w14:paraId="2114CDAC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• 验证基于 GNN 的项目业务相似性识别性能</w:t>
      </w:r>
    </w:p>
    <w:p w14:paraId="5F770A2D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• 验证基于 LoRA-LLM 的恶意交易检测性能</w:t>
      </w:r>
    </w:p>
    <w:p w14:paraId="5D2BB3FA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• 与现有方法进行性能、成本和实时性比较</w:t>
      </w:r>
    </w:p>
    <w:p w14:paraId="67E2218D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• 评估 TPS、latency、gas cost、finality、security assumption</w:t>
      </w:r>
    </w:p>
    <w:p w14:paraId="4CAE91C8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• 分析数据质量和模型资源消耗方面的局限</w:t>
      </w:r>
    </w:p>
    <w:p w14:paraId="70BE679F">
      <w:pPr>
        <w:pStyle w:val="3"/>
      </w:pPr>
      <w:r>
        <w:rPr>
          <w:rFonts w:ascii="微软雅黑" w:hAnsi="微软雅黑" w:eastAsia="微软雅黑"/>
          <w:b/>
          <w:sz w:val="28"/>
        </w:rPr>
        <w:t>(2) 研究问题</w:t>
      </w:r>
    </w:p>
    <w:p w14:paraId="1250174F">
      <w:pPr>
        <w:jc w:val="center"/>
      </w:pPr>
      <w:r>
        <w:rPr>
          <w:rFonts w:ascii="微软雅黑" w:hAnsi="微软雅黑" w:eastAsia="微软雅黑"/>
          <w:b/>
          <w:sz w:val="19"/>
        </w:rPr>
        <w:t>表10-2 研究问题设计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3846"/>
        <w:gridCol w:w="2004"/>
        <w:gridCol w:w="2597"/>
      </w:tblGrid>
      <w:tr w14:paraId="6541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69" w:type="dxa"/>
            <w:shd w:val="clear" w:color="auto" w:fill="D9EAF7"/>
            <w:vAlign w:val="center"/>
          </w:tcPr>
          <w:p w14:paraId="38795DB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3846" w:type="dxa"/>
            <w:shd w:val="clear" w:color="auto" w:fill="D9EAF7"/>
            <w:vAlign w:val="center"/>
          </w:tcPr>
          <w:p w14:paraId="3784F79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研究问题</w:t>
            </w:r>
          </w:p>
        </w:tc>
        <w:tc>
          <w:tcPr>
            <w:tcW w:w="2004" w:type="dxa"/>
            <w:shd w:val="clear" w:color="auto" w:fill="D9EAF7"/>
            <w:vAlign w:val="center"/>
          </w:tcPr>
          <w:p w14:paraId="50A41CD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对应实验</w:t>
            </w:r>
          </w:p>
        </w:tc>
        <w:tc>
          <w:tcPr>
            <w:tcW w:w="2597" w:type="dxa"/>
            <w:shd w:val="clear" w:color="auto" w:fill="D9EAF7"/>
            <w:vAlign w:val="center"/>
          </w:tcPr>
          <w:p w14:paraId="3648553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主要指标</w:t>
            </w:r>
          </w:p>
        </w:tc>
      </w:tr>
      <w:tr w14:paraId="5847F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69" w:type="dxa"/>
            <w:vAlign w:val="center"/>
          </w:tcPr>
          <w:p w14:paraId="4DBFFB7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RQ1</w:t>
            </w:r>
          </w:p>
        </w:tc>
        <w:tc>
          <w:tcPr>
            <w:tcW w:w="3846" w:type="dxa"/>
            <w:vAlign w:val="center"/>
          </w:tcPr>
          <w:p w14:paraId="1EB88DC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业务主干图能否表达项目类型和相似性？</w:t>
            </w:r>
          </w:p>
        </w:tc>
        <w:tc>
          <w:tcPr>
            <w:tcW w:w="2004" w:type="dxa"/>
            <w:vAlign w:val="center"/>
          </w:tcPr>
          <w:p w14:paraId="726DAE4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分类/相似性实验</w:t>
            </w:r>
          </w:p>
        </w:tc>
        <w:tc>
          <w:tcPr>
            <w:tcW w:w="2597" w:type="dxa"/>
            <w:vAlign w:val="center"/>
          </w:tcPr>
          <w:p w14:paraId="6DF3792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Top-k, NMI, ARI</w:t>
            </w:r>
          </w:p>
        </w:tc>
      </w:tr>
      <w:tr w14:paraId="4BAE0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69" w:type="dxa"/>
            <w:vAlign w:val="center"/>
          </w:tcPr>
          <w:p w14:paraId="268AAC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RQ2</w:t>
            </w:r>
          </w:p>
        </w:tc>
        <w:tc>
          <w:tcPr>
            <w:tcW w:w="3846" w:type="dxa"/>
            <w:vAlign w:val="center"/>
          </w:tcPr>
          <w:p w14:paraId="7EDF8BA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自然语言交易描述是否提升恶意检测？</w:t>
            </w:r>
          </w:p>
        </w:tc>
        <w:tc>
          <w:tcPr>
            <w:tcW w:w="2004" w:type="dxa"/>
            <w:vAlign w:val="center"/>
          </w:tcPr>
          <w:p w14:paraId="052ACE3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检测实验</w:t>
            </w:r>
          </w:p>
        </w:tc>
        <w:tc>
          <w:tcPr>
            <w:tcW w:w="2597" w:type="dxa"/>
            <w:vAlign w:val="center"/>
          </w:tcPr>
          <w:p w14:paraId="68CE0DF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Recall, F1, AUC</w:t>
            </w:r>
          </w:p>
        </w:tc>
      </w:tr>
      <w:tr w14:paraId="4670A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69" w:type="dxa"/>
            <w:vAlign w:val="center"/>
          </w:tcPr>
          <w:p w14:paraId="2E745A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RQ3</w:t>
            </w:r>
          </w:p>
        </w:tc>
        <w:tc>
          <w:tcPr>
            <w:tcW w:w="3846" w:type="dxa"/>
            <w:vAlign w:val="center"/>
          </w:tcPr>
          <w:p w14:paraId="0E78CF5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AIB2PSec 是否优于现有方法？</w:t>
            </w:r>
          </w:p>
        </w:tc>
        <w:tc>
          <w:tcPr>
            <w:tcW w:w="2004" w:type="dxa"/>
            <w:vAlign w:val="center"/>
          </w:tcPr>
          <w:p w14:paraId="226CF27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对照实验</w:t>
            </w:r>
          </w:p>
        </w:tc>
        <w:tc>
          <w:tcPr>
            <w:tcW w:w="2597" w:type="dxa"/>
            <w:vAlign w:val="center"/>
          </w:tcPr>
          <w:p w14:paraId="26589BA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F1, AUC, FPR/FNR</w:t>
            </w:r>
          </w:p>
        </w:tc>
      </w:tr>
      <w:tr w14:paraId="5A93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69" w:type="dxa"/>
            <w:vAlign w:val="center"/>
          </w:tcPr>
          <w:p w14:paraId="5A9A146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RQ4</w:t>
            </w:r>
          </w:p>
        </w:tc>
        <w:tc>
          <w:tcPr>
            <w:tcW w:w="3846" w:type="dxa"/>
            <w:vAlign w:val="center"/>
          </w:tcPr>
          <w:p w14:paraId="09AE91A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是否可用于链下准实时监控？</w:t>
            </w:r>
          </w:p>
        </w:tc>
        <w:tc>
          <w:tcPr>
            <w:tcW w:w="2004" w:type="dxa"/>
            <w:vAlign w:val="center"/>
          </w:tcPr>
          <w:p w14:paraId="243D8E6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性能实验</w:t>
            </w:r>
          </w:p>
        </w:tc>
        <w:tc>
          <w:tcPr>
            <w:tcW w:w="2597" w:type="dxa"/>
            <w:vAlign w:val="center"/>
          </w:tcPr>
          <w:p w14:paraId="5C6B85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TPS, latency, finality</w:t>
            </w:r>
          </w:p>
        </w:tc>
      </w:tr>
      <w:tr w14:paraId="6758D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69" w:type="dxa"/>
            <w:vAlign w:val="center"/>
          </w:tcPr>
          <w:p w14:paraId="41EFDF7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RQ5</w:t>
            </w:r>
          </w:p>
        </w:tc>
        <w:tc>
          <w:tcPr>
            <w:tcW w:w="3846" w:type="dxa"/>
            <w:vAlign w:val="center"/>
          </w:tcPr>
          <w:p w14:paraId="7F6B949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相似项目预警是否有助于提前预警？</w:t>
            </w:r>
          </w:p>
        </w:tc>
        <w:tc>
          <w:tcPr>
            <w:tcW w:w="2004" w:type="dxa"/>
            <w:vAlign w:val="center"/>
          </w:tcPr>
          <w:p w14:paraId="6F6D7C1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预警实验</w:t>
            </w:r>
          </w:p>
        </w:tc>
        <w:tc>
          <w:tcPr>
            <w:tcW w:w="2597" w:type="dxa"/>
            <w:vAlign w:val="center"/>
          </w:tcPr>
          <w:p w14:paraId="4737860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Warning lead time</w:t>
            </w:r>
          </w:p>
        </w:tc>
      </w:tr>
    </w:tbl>
    <w:p w14:paraId="5B3D9E33">
      <w:pPr>
        <w:pStyle w:val="3"/>
      </w:pPr>
      <w:r>
        <w:rPr>
          <w:rFonts w:ascii="微软雅黑" w:hAnsi="微软雅黑" w:eastAsia="微软雅黑"/>
          <w:b/>
          <w:sz w:val="28"/>
        </w:rPr>
        <w:t>(3) 研究假设</w:t>
      </w:r>
    </w:p>
    <w:p w14:paraId="24E23852">
      <w:pPr>
        <w:jc w:val="center"/>
      </w:pPr>
      <w:r>
        <w:rPr>
          <w:rFonts w:ascii="微软雅黑" w:hAnsi="微软雅黑" w:eastAsia="微软雅黑"/>
          <w:b/>
          <w:sz w:val="19"/>
        </w:rPr>
        <w:t>表10-3 研究假设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4296"/>
        <w:gridCol w:w="3634"/>
      </w:tblGrid>
      <w:tr w14:paraId="49C4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9" w:type="dxa"/>
            <w:shd w:val="clear" w:color="auto" w:fill="D9EAF7"/>
            <w:vAlign w:val="center"/>
          </w:tcPr>
          <w:p w14:paraId="1792E2A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假设</w:t>
            </w:r>
          </w:p>
        </w:tc>
        <w:tc>
          <w:tcPr>
            <w:tcW w:w="4296" w:type="dxa"/>
            <w:shd w:val="clear" w:color="auto" w:fill="D9EAF7"/>
            <w:vAlign w:val="center"/>
          </w:tcPr>
          <w:p w14:paraId="43BF927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内容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31BA885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预期验证结果</w:t>
            </w:r>
          </w:p>
        </w:tc>
      </w:tr>
      <w:tr w14:paraId="75679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9" w:type="dxa"/>
            <w:vAlign w:val="center"/>
          </w:tcPr>
          <w:p w14:paraId="73002F1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H1</w:t>
            </w:r>
          </w:p>
        </w:tc>
        <w:tc>
          <w:tcPr>
            <w:tcW w:w="4296" w:type="dxa"/>
            <w:vAlign w:val="center"/>
          </w:tcPr>
          <w:p w14:paraId="022150E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业务主干图比统计特征更能识别项目类型。</w:t>
            </w:r>
          </w:p>
        </w:tc>
        <w:tc>
          <w:tcPr>
            <w:tcW w:w="3634" w:type="dxa"/>
            <w:vAlign w:val="center"/>
          </w:tcPr>
          <w:p w14:paraId="443C2B7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GNN 性能更高</w:t>
            </w:r>
          </w:p>
        </w:tc>
      </w:tr>
      <w:tr w14:paraId="7467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9" w:type="dxa"/>
            <w:vAlign w:val="center"/>
          </w:tcPr>
          <w:p w14:paraId="731A42D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H2</w:t>
            </w:r>
          </w:p>
        </w:tc>
        <w:tc>
          <w:tcPr>
            <w:tcW w:w="4296" w:type="dxa"/>
            <w:vAlign w:val="center"/>
          </w:tcPr>
          <w:p w14:paraId="405241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自然语言交易描述提升 LLM 检测性能。</w:t>
            </w:r>
          </w:p>
        </w:tc>
        <w:tc>
          <w:tcPr>
            <w:tcW w:w="3634" w:type="dxa"/>
            <w:vAlign w:val="center"/>
          </w:tcPr>
          <w:p w14:paraId="7B2C937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F1/Recall 提升</w:t>
            </w:r>
          </w:p>
        </w:tc>
      </w:tr>
      <w:tr w14:paraId="15B8B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9" w:type="dxa"/>
            <w:vAlign w:val="center"/>
          </w:tcPr>
          <w:p w14:paraId="2BE3487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H3</w:t>
            </w:r>
          </w:p>
        </w:tc>
        <w:tc>
          <w:tcPr>
            <w:tcW w:w="4296" w:type="dxa"/>
            <w:vAlign w:val="center"/>
          </w:tcPr>
          <w:p w14:paraId="523451F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AIB2PSec 优于单一模型。</w:t>
            </w:r>
          </w:p>
        </w:tc>
        <w:tc>
          <w:tcPr>
            <w:tcW w:w="3634" w:type="dxa"/>
            <w:vAlign w:val="center"/>
          </w:tcPr>
          <w:p w14:paraId="4406263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AUC/F1 最高</w:t>
            </w:r>
          </w:p>
        </w:tc>
      </w:tr>
      <w:tr w14:paraId="197C3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9" w:type="dxa"/>
            <w:vAlign w:val="center"/>
          </w:tcPr>
          <w:p w14:paraId="56E0C5F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H4</w:t>
            </w:r>
          </w:p>
        </w:tc>
        <w:tc>
          <w:tcPr>
            <w:tcW w:w="4296" w:type="dxa"/>
            <w:vAlign w:val="center"/>
          </w:tcPr>
          <w:p w14:paraId="14871F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latency 增加但满足准实时要求。</w:t>
            </w:r>
          </w:p>
        </w:tc>
        <w:tc>
          <w:tcPr>
            <w:tcW w:w="3634" w:type="dxa"/>
            <w:vAlign w:val="center"/>
          </w:tcPr>
          <w:p w14:paraId="731F791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平均/P95 latency 可接受</w:t>
            </w:r>
          </w:p>
        </w:tc>
      </w:tr>
      <w:tr w14:paraId="0E6AE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9" w:type="dxa"/>
            <w:vAlign w:val="center"/>
          </w:tcPr>
          <w:p w14:paraId="0C8774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H5</w:t>
            </w:r>
          </w:p>
        </w:tc>
        <w:tc>
          <w:tcPr>
            <w:tcW w:w="4296" w:type="dxa"/>
            <w:vAlign w:val="center"/>
          </w:tcPr>
          <w:p w14:paraId="54332AF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相似项目预警有助于提前预警。</w:t>
            </w:r>
          </w:p>
        </w:tc>
        <w:tc>
          <w:tcPr>
            <w:tcW w:w="3634" w:type="dxa"/>
            <w:vAlign w:val="center"/>
          </w:tcPr>
          <w:p w14:paraId="4B99FD2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warning lead time 提升</w:t>
            </w:r>
          </w:p>
        </w:tc>
      </w:tr>
    </w:tbl>
    <w:p w14:paraId="49466D29">
      <w:pPr>
        <w:pStyle w:val="3"/>
      </w:pPr>
      <w:r>
        <w:rPr>
          <w:rFonts w:ascii="微软雅黑" w:hAnsi="微软雅黑" w:eastAsia="微软雅黑"/>
          <w:b/>
          <w:sz w:val="28"/>
        </w:rPr>
        <w:t>(4) 实施范围</w:t>
      </w:r>
    </w:p>
    <w:p w14:paraId="712D2721">
      <w:pPr>
        <w:spacing w:after="120" w:line="317" w:lineRule="auto"/>
        <w:ind w:firstLine="425"/>
      </w:pPr>
      <w:r>
        <w:rPr>
          <w:rFonts w:ascii="微软雅黑" w:hAnsi="微软雅黑" w:eastAsia="微软雅黑"/>
          <w:b w:val="0"/>
          <w:sz w:val="21"/>
        </w:rPr>
        <w:t>实验对象为以太坊公开智能合约项目，包括 DEX、Lending、Yield、NFT、Insurance 等类型。数据限定为公开交易、内部调用、opcode、事件日志、项目标签、攻击标签和本地模拟样本。不执行真实攻击，不向主网发送攻击交易，不收集私钥、认证信息或个人信息。</w:t>
      </w:r>
    </w:p>
    <w:p w14:paraId="14888C18">
      <w:pPr>
        <w:pStyle w:val="3"/>
      </w:pPr>
      <w:r>
        <w:rPr>
          <w:rFonts w:ascii="微软雅黑" w:hAnsi="微软雅黑" w:eastAsia="微软雅黑"/>
          <w:b/>
          <w:sz w:val="28"/>
        </w:rPr>
        <w:t>(5) 对照组</w:t>
      </w:r>
    </w:p>
    <w:p w14:paraId="0DB5447F">
      <w:pPr>
        <w:jc w:val="center"/>
      </w:pPr>
      <w:r>
        <w:rPr>
          <w:rFonts w:ascii="微软雅黑" w:hAnsi="微软雅黑" w:eastAsia="微软雅黑"/>
          <w:b/>
          <w:sz w:val="19"/>
        </w:rPr>
        <w:t>表10-4 实验组与对照组设计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800"/>
        <w:gridCol w:w="3423"/>
        <w:gridCol w:w="2379"/>
      </w:tblGrid>
      <w:tr w14:paraId="5FC86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14" w:type="dxa"/>
            <w:shd w:val="clear" w:color="auto" w:fill="D9EAF7"/>
            <w:vAlign w:val="center"/>
          </w:tcPr>
          <w:p w14:paraId="033F97F2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组别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1FB3359E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方法</w:t>
            </w:r>
          </w:p>
        </w:tc>
        <w:tc>
          <w:tcPr>
            <w:tcW w:w="3423" w:type="dxa"/>
            <w:shd w:val="clear" w:color="auto" w:fill="D9EAF7"/>
            <w:vAlign w:val="center"/>
          </w:tcPr>
          <w:p w14:paraId="36FBBF77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输入/特征</w:t>
            </w:r>
          </w:p>
        </w:tc>
        <w:tc>
          <w:tcPr>
            <w:tcW w:w="2379" w:type="dxa"/>
            <w:shd w:val="clear" w:color="auto" w:fill="D9EAF7"/>
            <w:vAlign w:val="center"/>
          </w:tcPr>
          <w:p w14:paraId="5C32EAC6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目的</w:t>
            </w:r>
          </w:p>
        </w:tc>
      </w:tr>
      <w:tr w14:paraId="5AE6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14" w:type="dxa"/>
            <w:vAlign w:val="center"/>
          </w:tcPr>
          <w:p w14:paraId="21B00623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Baseline A</w:t>
            </w:r>
          </w:p>
        </w:tc>
        <w:tc>
          <w:tcPr>
            <w:tcW w:w="1800" w:type="dxa"/>
            <w:vAlign w:val="center"/>
          </w:tcPr>
          <w:p w14:paraId="5D7E8906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静态规则</w:t>
            </w:r>
          </w:p>
        </w:tc>
        <w:tc>
          <w:tcPr>
            <w:tcW w:w="3423" w:type="dxa"/>
            <w:vAlign w:val="center"/>
          </w:tcPr>
          <w:p w14:paraId="4A3DEE9B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漏洞模式/opcode</w:t>
            </w:r>
          </w:p>
        </w:tc>
        <w:tc>
          <w:tcPr>
            <w:tcW w:w="2379" w:type="dxa"/>
            <w:vAlign w:val="center"/>
          </w:tcPr>
          <w:p w14:paraId="4937D0EE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规则基准比较</w:t>
            </w:r>
          </w:p>
        </w:tc>
      </w:tr>
      <w:tr w14:paraId="7CB49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14" w:type="dxa"/>
            <w:vAlign w:val="center"/>
          </w:tcPr>
          <w:p w14:paraId="13059BFF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Baseline B</w:t>
            </w:r>
          </w:p>
        </w:tc>
        <w:tc>
          <w:tcPr>
            <w:tcW w:w="1800" w:type="dxa"/>
            <w:vAlign w:val="center"/>
          </w:tcPr>
          <w:p w14:paraId="0FD370DE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传统 ML</w:t>
            </w:r>
          </w:p>
        </w:tc>
        <w:tc>
          <w:tcPr>
            <w:tcW w:w="3423" w:type="dxa"/>
            <w:vAlign w:val="center"/>
          </w:tcPr>
          <w:p w14:paraId="26D0A9DC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交易统计</w:t>
            </w:r>
          </w:p>
        </w:tc>
        <w:tc>
          <w:tcPr>
            <w:tcW w:w="2379" w:type="dxa"/>
            <w:vAlign w:val="center"/>
          </w:tcPr>
          <w:p w14:paraId="117DFA1A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RF/SVM/XGBoost 比较</w:t>
            </w:r>
          </w:p>
        </w:tc>
      </w:tr>
      <w:tr w14:paraId="1BAAB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14" w:type="dxa"/>
            <w:vAlign w:val="center"/>
          </w:tcPr>
          <w:p w14:paraId="23FE456C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Baseline C</w:t>
            </w:r>
          </w:p>
        </w:tc>
        <w:tc>
          <w:tcPr>
            <w:tcW w:w="1800" w:type="dxa"/>
            <w:vAlign w:val="center"/>
          </w:tcPr>
          <w:p w14:paraId="4DA617D5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序列 DL</w:t>
            </w:r>
          </w:p>
        </w:tc>
        <w:tc>
          <w:tcPr>
            <w:tcW w:w="3423" w:type="dxa"/>
            <w:vAlign w:val="center"/>
          </w:tcPr>
          <w:p w14:paraId="21ACF1AF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opcode/调用序列</w:t>
            </w:r>
          </w:p>
        </w:tc>
        <w:tc>
          <w:tcPr>
            <w:tcW w:w="2379" w:type="dxa"/>
            <w:vAlign w:val="center"/>
          </w:tcPr>
          <w:p w14:paraId="58DA4B1B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LSTM/Transformer 比较</w:t>
            </w:r>
          </w:p>
        </w:tc>
      </w:tr>
      <w:tr w14:paraId="7A08D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14" w:type="dxa"/>
            <w:vAlign w:val="center"/>
          </w:tcPr>
          <w:p w14:paraId="270543A4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Baseline D</w:t>
            </w:r>
          </w:p>
        </w:tc>
        <w:tc>
          <w:tcPr>
            <w:tcW w:w="1800" w:type="dxa"/>
            <w:vAlign w:val="center"/>
          </w:tcPr>
          <w:p w14:paraId="2827179A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GNN only</w:t>
            </w:r>
          </w:p>
        </w:tc>
        <w:tc>
          <w:tcPr>
            <w:tcW w:w="3423" w:type="dxa"/>
            <w:vAlign w:val="center"/>
          </w:tcPr>
          <w:p w14:paraId="3594FA1A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项目图</w:t>
            </w:r>
          </w:p>
        </w:tc>
        <w:tc>
          <w:tcPr>
            <w:tcW w:w="2379" w:type="dxa"/>
            <w:vAlign w:val="center"/>
          </w:tcPr>
          <w:p w14:paraId="4D6056AD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验证图模块</w:t>
            </w:r>
          </w:p>
        </w:tc>
      </w:tr>
      <w:tr w14:paraId="004E5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14" w:type="dxa"/>
            <w:vAlign w:val="center"/>
          </w:tcPr>
          <w:p w14:paraId="030825F9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Baseline E</w:t>
            </w:r>
          </w:p>
        </w:tc>
        <w:tc>
          <w:tcPr>
            <w:tcW w:w="1800" w:type="dxa"/>
            <w:vAlign w:val="center"/>
          </w:tcPr>
          <w:p w14:paraId="061E4983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LLM only</w:t>
            </w:r>
          </w:p>
        </w:tc>
        <w:tc>
          <w:tcPr>
            <w:tcW w:w="3423" w:type="dxa"/>
            <w:vAlign w:val="center"/>
          </w:tcPr>
          <w:p w14:paraId="3FC62A96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自然语言描述</w:t>
            </w:r>
          </w:p>
        </w:tc>
        <w:tc>
          <w:tcPr>
            <w:tcW w:w="2379" w:type="dxa"/>
            <w:vAlign w:val="center"/>
          </w:tcPr>
          <w:p w14:paraId="2ED8D950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验证语言模型</w:t>
            </w:r>
          </w:p>
        </w:tc>
      </w:tr>
      <w:tr w14:paraId="080D9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14" w:type="dxa"/>
            <w:vAlign w:val="center"/>
          </w:tcPr>
          <w:p w14:paraId="0C814451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Ablation</w:t>
            </w:r>
          </w:p>
        </w:tc>
        <w:tc>
          <w:tcPr>
            <w:tcW w:w="1800" w:type="dxa"/>
            <w:vAlign w:val="center"/>
          </w:tcPr>
          <w:p w14:paraId="3703A774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模块去除</w:t>
            </w:r>
          </w:p>
        </w:tc>
        <w:tc>
          <w:tcPr>
            <w:tcW w:w="3423" w:type="dxa"/>
            <w:vAlign w:val="center"/>
          </w:tcPr>
          <w:p w14:paraId="302F0180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去除GNN/NL/LoRA/Warning</w:t>
            </w:r>
          </w:p>
        </w:tc>
        <w:tc>
          <w:tcPr>
            <w:tcW w:w="2379" w:type="dxa"/>
            <w:vAlign w:val="center"/>
          </w:tcPr>
          <w:p w14:paraId="312E2EB5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验证模块贡献</w:t>
            </w:r>
          </w:p>
        </w:tc>
      </w:tr>
      <w:tr w14:paraId="1AE6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14" w:type="dxa"/>
            <w:vAlign w:val="center"/>
          </w:tcPr>
          <w:p w14:paraId="54D4CFC7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Experimental</w:t>
            </w:r>
          </w:p>
        </w:tc>
        <w:tc>
          <w:tcPr>
            <w:tcW w:w="1800" w:type="dxa"/>
            <w:vAlign w:val="center"/>
          </w:tcPr>
          <w:p w14:paraId="73EC98D9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AIB2PSec</w:t>
            </w:r>
          </w:p>
        </w:tc>
        <w:tc>
          <w:tcPr>
            <w:tcW w:w="3423" w:type="dxa"/>
            <w:vAlign w:val="center"/>
          </w:tcPr>
          <w:p w14:paraId="448E33C4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GNN+LoRA-LLM+Warning</w:t>
            </w:r>
          </w:p>
        </w:tc>
        <w:tc>
          <w:tcPr>
            <w:tcW w:w="2379" w:type="dxa"/>
            <w:vAlign w:val="center"/>
          </w:tcPr>
          <w:p w14:paraId="10B10F42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提出方法</w:t>
            </w:r>
          </w:p>
        </w:tc>
      </w:tr>
    </w:tbl>
    <w:p w14:paraId="74F698BD"/>
    <w:p w14:paraId="7DADA44D">
      <w:pPr>
        <w:jc w:val="center"/>
      </w:pPr>
      <w:r>
        <w:drawing>
          <wp:inline distT="0" distB="0" distL="114300" distR="114300">
            <wp:extent cx="5669280" cy="2259330"/>
            <wp:effectExtent l="0" t="0" r="7620" b="762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3FC1">
      <w:pPr>
        <w:jc w:val="center"/>
      </w:pPr>
      <w:r>
        <w:rPr>
          <w:rFonts w:ascii="微软雅黑" w:hAnsi="微软雅黑" w:eastAsia="微软雅黑"/>
          <w:b/>
          <w:sz w:val="19"/>
        </w:rPr>
        <w:t>图10-2 对照组设计图</w:t>
      </w:r>
    </w:p>
    <w:p w14:paraId="7FF0C627">
      <w:pPr>
        <w:pStyle w:val="3"/>
      </w:pPr>
      <w:r>
        <w:rPr>
          <w:rFonts w:ascii="微软雅黑" w:hAnsi="微软雅黑" w:eastAsia="微软雅黑"/>
          <w:b/>
          <w:sz w:val="28"/>
        </w:rPr>
        <w:t>(6) 实验环境</w:t>
      </w:r>
    </w:p>
    <w:p w14:paraId="6D67923E">
      <w:pPr>
        <w:jc w:val="center"/>
      </w:pPr>
      <w:r>
        <w:rPr>
          <w:rFonts w:ascii="微软雅黑" w:hAnsi="微软雅黑" w:eastAsia="微软雅黑"/>
          <w:b/>
          <w:sz w:val="19"/>
        </w:rPr>
        <w:t>表10-5 实验环境计划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7616"/>
      </w:tblGrid>
      <w:tr w14:paraId="74DDD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02" w:type="dxa"/>
            <w:shd w:val="clear" w:color="auto" w:fill="D9EAF7"/>
            <w:vAlign w:val="center"/>
          </w:tcPr>
          <w:p w14:paraId="7C8C3EF2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项目</w:t>
            </w:r>
          </w:p>
        </w:tc>
        <w:tc>
          <w:tcPr>
            <w:tcW w:w="7616" w:type="dxa"/>
            <w:shd w:val="clear" w:color="auto" w:fill="D9EAF7"/>
            <w:vAlign w:val="center"/>
          </w:tcPr>
          <w:p w14:paraId="290F75CA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计划内容</w:t>
            </w:r>
          </w:p>
        </w:tc>
      </w:tr>
      <w:tr w14:paraId="5113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02" w:type="dxa"/>
            <w:vAlign w:val="center"/>
          </w:tcPr>
          <w:p w14:paraId="042FA9E4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数据</w:t>
            </w:r>
          </w:p>
        </w:tc>
        <w:tc>
          <w:tcPr>
            <w:tcW w:w="7616" w:type="dxa"/>
            <w:vAlign w:val="center"/>
          </w:tcPr>
          <w:p w14:paraId="193B1132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公开以太坊交易、trace、opcode、事件日志、标签</w:t>
            </w:r>
          </w:p>
        </w:tc>
      </w:tr>
      <w:tr w14:paraId="2E4D2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902" w:type="dxa"/>
            <w:vAlign w:val="center"/>
          </w:tcPr>
          <w:p w14:paraId="72209583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区块链</w:t>
            </w:r>
          </w:p>
        </w:tc>
        <w:tc>
          <w:tcPr>
            <w:tcW w:w="7616" w:type="dxa"/>
            <w:vAlign w:val="center"/>
          </w:tcPr>
          <w:p w14:paraId="0F7EF4E9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以太坊历史数据、RPC trace、Hardhat/Ganache</w:t>
            </w:r>
          </w:p>
        </w:tc>
      </w:tr>
      <w:tr w14:paraId="12B9F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02" w:type="dxa"/>
            <w:vAlign w:val="center"/>
          </w:tcPr>
          <w:p w14:paraId="2A587F25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硬件</w:t>
            </w:r>
          </w:p>
        </w:tc>
        <w:tc>
          <w:tcPr>
            <w:tcW w:w="7616" w:type="dxa"/>
            <w:vAlign w:val="center"/>
          </w:tcPr>
          <w:p w14:paraId="3FB1FAE5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建议 GPU 24GB 以上、CPU 8核、RAM 32GB 以上</w:t>
            </w:r>
          </w:p>
        </w:tc>
      </w:tr>
      <w:tr w14:paraId="304E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02" w:type="dxa"/>
            <w:vAlign w:val="center"/>
          </w:tcPr>
          <w:p w14:paraId="7448EA5D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软件</w:t>
            </w:r>
          </w:p>
        </w:tc>
        <w:tc>
          <w:tcPr>
            <w:tcW w:w="7616" w:type="dxa"/>
            <w:vAlign w:val="center"/>
          </w:tcPr>
          <w:p w14:paraId="0F022481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Python, PyTorch, PyG/DGL, Transformers, PEFT/LoRA, Web3.py</w:t>
            </w:r>
          </w:p>
        </w:tc>
      </w:tr>
      <w:tr w14:paraId="27F2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02" w:type="dxa"/>
            <w:vAlign w:val="center"/>
          </w:tcPr>
          <w:p w14:paraId="44FFD441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安全</w:t>
            </w:r>
          </w:p>
        </w:tc>
        <w:tc>
          <w:tcPr>
            <w:tcW w:w="7616" w:type="dxa"/>
            <w:vAlign w:val="center"/>
          </w:tcPr>
          <w:p w14:paraId="44F8CB22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离线分析、本地模拟、禁止真实攻击</w:t>
            </w:r>
          </w:p>
        </w:tc>
      </w:tr>
    </w:tbl>
    <w:p w14:paraId="033DB77C">
      <w:pPr>
        <w:pStyle w:val="3"/>
      </w:pPr>
      <w:r>
        <w:rPr>
          <w:rFonts w:ascii="微软雅黑" w:hAnsi="微软雅黑" w:eastAsia="微软雅黑"/>
          <w:b/>
          <w:sz w:val="28"/>
        </w:rPr>
        <w:t>(7) 评价指标</w:t>
      </w:r>
    </w:p>
    <w:p w14:paraId="3E8D55B9">
      <w:pPr>
        <w:jc w:val="center"/>
      </w:pPr>
      <w:r>
        <w:rPr>
          <w:rFonts w:ascii="微软雅黑" w:hAnsi="微软雅黑" w:eastAsia="微软雅黑"/>
          <w:b/>
          <w:sz w:val="19"/>
        </w:rPr>
        <w:t>表10-6 评价指标设计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7425"/>
      </w:tblGrid>
      <w:tr w14:paraId="2AC5B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093" w:type="dxa"/>
            <w:shd w:val="clear" w:color="auto" w:fill="D9EAF7"/>
            <w:vAlign w:val="center"/>
          </w:tcPr>
          <w:p w14:paraId="603C251B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指标类别</w:t>
            </w:r>
          </w:p>
        </w:tc>
        <w:tc>
          <w:tcPr>
            <w:tcW w:w="7425" w:type="dxa"/>
            <w:shd w:val="clear" w:color="auto" w:fill="D9EAF7"/>
            <w:vAlign w:val="center"/>
          </w:tcPr>
          <w:p w14:paraId="40850584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具体指标</w:t>
            </w:r>
          </w:p>
        </w:tc>
      </w:tr>
      <w:tr w14:paraId="3BA7A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093" w:type="dxa"/>
            <w:vAlign w:val="center"/>
          </w:tcPr>
          <w:p w14:paraId="73A37BFE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检测性能</w:t>
            </w:r>
          </w:p>
        </w:tc>
        <w:tc>
          <w:tcPr>
            <w:tcW w:w="7425" w:type="dxa"/>
            <w:vAlign w:val="center"/>
          </w:tcPr>
          <w:p w14:paraId="4E86359B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Accuracy, Precision, Recall, F1-score, AUC, FPR, FNR</w:t>
            </w:r>
          </w:p>
        </w:tc>
      </w:tr>
      <w:tr w14:paraId="6DF39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093" w:type="dxa"/>
            <w:vAlign w:val="center"/>
          </w:tcPr>
          <w:p w14:paraId="32011BD0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相似性</w:t>
            </w:r>
          </w:p>
        </w:tc>
        <w:tc>
          <w:tcPr>
            <w:tcW w:w="7425" w:type="dxa"/>
            <w:vAlign w:val="center"/>
          </w:tcPr>
          <w:p w14:paraId="0AED0173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Top-k Accuracy, NMI, ARI, Silhouette Score</w:t>
            </w:r>
          </w:p>
        </w:tc>
      </w:tr>
      <w:tr w14:paraId="3D497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093" w:type="dxa"/>
            <w:vAlign w:val="center"/>
          </w:tcPr>
          <w:p w14:paraId="1A5D8616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区块链</w:t>
            </w:r>
          </w:p>
        </w:tc>
        <w:tc>
          <w:tcPr>
            <w:tcW w:w="7425" w:type="dxa"/>
            <w:vAlign w:val="center"/>
          </w:tcPr>
          <w:p w14:paraId="7CC88615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TPS, mean/P95/P99 latency, finality</w:t>
            </w:r>
          </w:p>
        </w:tc>
      </w:tr>
      <w:tr w14:paraId="74AD7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093" w:type="dxa"/>
            <w:vAlign w:val="center"/>
          </w:tcPr>
          <w:p w14:paraId="6CB7A7DE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成本</w:t>
            </w:r>
          </w:p>
        </w:tc>
        <w:tc>
          <w:tcPr>
            <w:tcW w:w="7425" w:type="dxa"/>
            <w:vAlign w:val="center"/>
          </w:tcPr>
          <w:p w14:paraId="6297D9E9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gas cost estimate, inference cost, storage overhead</w:t>
            </w:r>
          </w:p>
        </w:tc>
      </w:tr>
      <w:tr w14:paraId="7E7B7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093" w:type="dxa"/>
            <w:vAlign w:val="center"/>
          </w:tcPr>
          <w:p w14:paraId="08A4FBFF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安全性</w:t>
            </w:r>
          </w:p>
        </w:tc>
        <w:tc>
          <w:tcPr>
            <w:tcW w:w="7425" w:type="dxa"/>
            <w:vAlign w:val="center"/>
          </w:tcPr>
          <w:p w14:paraId="75D4A3D8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attack detection rate, warning lead time, security assumptions</w:t>
            </w:r>
          </w:p>
        </w:tc>
      </w:tr>
    </w:tbl>
    <w:p w14:paraId="595CF0BA"/>
    <w:p w14:paraId="5C78499B">
      <w:pPr>
        <w:jc w:val="center"/>
      </w:pPr>
      <w:r>
        <w:drawing>
          <wp:inline distT="0" distB="0" distL="114300" distR="114300">
            <wp:extent cx="5303520" cy="2322195"/>
            <wp:effectExtent l="0" t="0" r="11430" b="190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C33B">
      <w:pPr>
        <w:jc w:val="center"/>
      </w:pPr>
      <w:r>
        <w:rPr>
          <w:rFonts w:ascii="微软雅黑" w:hAnsi="微软雅黑" w:eastAsia="微软雅黑"/>
          <w:b/>
          <w:sz w:val="19"/>
        </w:rPr>
        <w:t>图10-3 评价指标优先级</w:t>
      </w:r>
    </w:p>
    <w:p w14:paraId="5CC7F69B">
      <w:pPr>
        <w:pStyle w:val="3"/>
      </w:pPr>
      <w:r>
        <w:rPr>
          <w:rFonts w:ascii="微软雅黑" w:hAnsi="微软雅黑" w:eastAsia="微软雅黑"/>
          <w:b/>
          <w:sz w:val="28"/>
        </w:rPr>
        <w:t>(8) 实验程序</w:t>
      </w:r>
    </w:p>
    <w:p w14:paraId="0A6C71A4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1. 数据收集</w:t>
      </w:r>
    </w:p>
    <w:p w14:paraId="2DFAE34F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2. 伦理过滤</w:t>
      </w:r>
    </w:p>
    <w:p w14:paraId="0AE93DF4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3. 预处理与标签整理</w:t>
      </w:r>
    </w:p>
    <w:p w14:paraId="30F7FD47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4. 构建业务主干图</w:t>
      </w:r>
    </w:p>
    <w:p w14:paraId="19328D99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5. 生成自然语言交易描述</w:t>
      </w:r>
    </w:p>
    <w:p w14:paraId="30E04F88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6. 训练 GNN/LoRA-LLM</w:t>
      </w:r>
    </w:p>
    <w:p w14:paraId="004802E0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7. 运行对照组和消融实验</w:t>
      </w:r>
    </w:p>
    <w:p w14:paraId="48527C1F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8. 记录 TPS/latency/gas/finality</w:t>
      </w:r>
    </w:p>
    <w:p w14:paraId="76C81F45">
      <w:pPr>
        <w:spacing w:after="120" w:line="317" w:lineRule="auto"/>
      </w:pPr>
      <w:r>
        <w:rPr>
          <w:rFonts w:ascii="微软雅黑" w:hAnsi="微软雅黑" w:eastAsia="微软雅黑"/>
          <w:b w:val="0"/>
          <w:sz w:val="21"/>
        </w:rPr>
        <w:t>9. 分析结果和局限</w:t>
      </w:r>
    </w:p>
    <w:p w14:paraId="2F447803">
      <w:pPr>
        <w:jc w:val="center"/>
      </w:pPr>
      <w:r>
        <w:drawing>
          <wp:inline distT="0" distB="0" distL="114300" distR="114300">
            <wp:extent cx="5303520" cy="2117725"/>
            <wp:effectExtent l="0" t="0" r="11430" b="1587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4014">
      <w:pPr>
        <w:jc w:val="center"/>
      </w:pPr>
      <w:r>
        <w:rPr>
          <w:rFonts w:ascii="微软雅黑" w:hAnsi="微软雅黑" w:eastAsia="微软雅黑"/>
          <w:b/>
          <w:sz w:val="19"/>
        </w:rPr>
        <w:t>图10-4 实验进度计划</w:t>
      </w:r>
    </w:p>
    <w:p w14:paraId="7EC5B3FC">
      <w:pPr>
        <w:pStyle w:val="3"/>
      </w:pPr>
      <w:r>
        <w:rPr>
          <w:rFonts w:ascii="微软雅黑" w:hAnsi="微软雅黑" w:eastAsia="微软雅黑"/>
          <w:b/>
          <w:sz w:val="28"/>
        </w:rPr>
        <w:t>(9) 拟用表格</w:t>
      </w:r>
    </w:p>
    <w:p w14:paraId="61FE8CEF">
      <w:pPr>
        <w:jc w:val="center"/>
      </w:pPr>
      <w:r>
        <w:rPr>
          <w:rFonts w:ascii="微软雅黑" w:hAnsi="微软雅黑" w:eastAsia="微软雅黑"/>
          <w:b/>
          <w:sz w:val="19"/>
        </w:rPr>
        <w:t>表10-7 拟用表格清单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F5F2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6B33CEE6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表编号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67C08319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表名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757C4D48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用途</w:t>
            </w:r>
          </w:p>
        </w:tc>
      </w:tr>
      <w:tr w14:paraId="20DBF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456FCE1E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表10-1</w:t>
            </w:r>
          </w:p>
        </w:tc>
        <w:tc>
          <w:tcPr>
            <w:tcW w:w="3173" w:type="dxa"/>
            <w:vAlign w:val="center"/>
          </w:tcPr>
          <w:p w14:paraId="4407CEF9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要求检查表</w:t>
            </w:r>
          </w:p>
        </w:tc>
        <w:tc>
          <w:tcPr>
            <w:tcW w:w="3173" w:type="dxa"/>
            <w:vAlign w:val="center"/>
          </w:tcPr>
          <w:p w14:paraId="5B9C07B7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确认作业要求</w:t>
            </w:r>
          </w:p>
        </w:tc>
      </w:tr>
      <w:tr w14:paraId="6A422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56F4E441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表10-2</w:t>
            </w:r>
          </w:p>
        </w:tc>
        <w:tc>
          <w:tcPr>
            <w:tcW w:w="3173" w:type="dxa"/>
            <w:vAlign w:val="center"/>
          </w:tcPr>
          <w:p w14:paraId="2D7457F3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研究问题</w:t>
            </w:r>
          </w:p>
        </w:tc>
        <w:tc>
          <w:tcPr>
            <w:tcW w:w="3173" w:type="dxa"/>
            <w:vAlign w:val="center"/>
          </w:tcPr>
          <w:p w14:paraId="33C0C03E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连接 RQ 与实验</w:t>
            </w:r>
          </w:p>
        </w:tc>
      </w:tr>
      <w:tr w14:paraId="1FAF7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14B82E91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表10-3</w:t>
            </w:r>
          </w:p>
        </w:tc>
        <w:tc>
          <w:tcPr>
            <w:tcW w:w="3173" w:type="dxa"/>
            <w:vAlign w:val="center"/>
          </w:tcPr>
          <w:p w14:paraId="1AF760FE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研究假设</w:t>
            </w:r>
          </w:p>
        </w:tc>
        <w:tc>
          <w:tcPr>
            <w:tcW w:w="3173" w:type="dxa"/>
            <w:vAlign w:val="center"/>
          </w:tcPr>
          <w:p w14:paraId="0E3E2934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假设与验证标准</w:t>
            </w:r>
          </w:p>
        </w:tc>
      </w:tr>
      <w:tr w14:paraId="60EA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1038F01D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表10-4</w:t>
            </w:r>
          </w:p>
        </w:tc>
        <w:tc>
          <w:tcPr>
            <w:tcW w:w="3173" w:type="dxa"/>
            <w:vAlign w:val="center"/>
          </w:tcPr>
          <w:p w14:paraId="1E6AFA7E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对照组</w:t>
            </w:r>
          </w:p>
        </w:tc>
        <w:tc>
          <w:tcPr>
            <w:tcW w:w="3173" w:type="dxa"/>
            <w:vAlign w:val="center"/>
          </w:tcPr>
          <w:p w14:paraId="78C573B4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baseline 与提出方法</w:t>
            </w:r>
          </w:p>
        </w:tc>
      </w:tr>
      <w:tr w14:paraId="10A6E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64308D79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表10-5</w:t>
            </w:r>
          </w:p>
        </w:tc>
        <w:tc>
          <w:tcPr>
            <w:tcW w:w="3173" w:type="dxa"/>
            <w:vAlign w:val="center"/>
          </w:tcPr>
          <w:p w14:paraId="27459D89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实验环境</w:t>
            </w:r>
          </w:p>
        </w:tc>
        <w:tc>
          <w:tcPr>
            <w:tcW w:w="3173" w:type="dxa"/>
            <w:vAlign w:val="center"/>
          </w:tcPr>
          <w:p w14:paraId="1C050675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整理实验条件</w:t>
            </w:r>
          </w:p>
        </w:tc>
      </w:tr>
      <w:tr w14:paraId="48514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6AD3CD18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表10-6</w:t>
            </w:r>
          </w:p>
        </w:tc>
        <w:tc>
          <w:tcPr>
            <w:tcW w:w="3173" w:type="dxa"/>
            <w:vAlign w:val="center"/>
          </w:tcPr>
          <w:p w14:paraId="105E83F5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评价指标</w:t>
            </w:r>
          </w:p>
        </w:tc>
        <w:tc>
          <w:tcPr>
            <w:tcW w:w="3173" w:type="dxa"/>
            <w:vAlign w:val="center"/>
          </w:tcPr>
          <w:p w14:paraId="1AFEF1B6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整理测量指标</w:t>
            </w:r>
          </w:p>
        </w:tc>
      </w:tr>
      <w:tr w14:paraId="18ED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21048874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表10-7</w:t>
            </w:r>
          </w:p>
        </w:tc>
        <w:tc>
          <w:tcPr>
            <w:tcW w:w="3173" w:type="dxa"/>
            <w:vAlign w:val="center"/>
          </w:tcPr>
          <w:p w14:paraId="7AB19407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检测结果</w:t>
            </w:r>
          </w:p>
        </w:tc>
        <w:tc>
          <w:tcPr>
            <w:tcW w:w="3173" w:type="dxa"/>
            <w:vAlign w:val="center"/>
          </w:tcPr>
          <w:p w14:paraId="4FABF5A3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记录 F1/AUC/FPR/FNR</w:t>
            </w:r>
          </w:p>
        </w:tc>
      </w:tr>
      <w:tr w14:paraId="63857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0C65C100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表10-8</w:t>
            </w:r>
          </w:p>
        </w:tc>
        <w:tc>
          <w:tcPr>
            <w:tcW w:w="3173" w:type="dxa"/>
            <w:vAlign w:val="center"/>
          </w:tcPr>
          <w:p w14:paraId="35AFC591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区块链性能</w:t>
            </w:r>
          </w:p>
        </w:tc>
        <w:tc>
          <w:tcPr>
            <w:tcW w:w="3173" w:type="dxa"/>
            <w:vAlign w:val="center"/>
          </w:tcPr>
          <w:p w14:paraId="7018A03C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记录 TPS/latency/gas/finality</w:t>
            </w:r>
          </w:p>
        </w:tc>
      </w:tr>
      <w:tr w14:paraId="5D115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13AB2E4A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表10-9</w:t>
            </w:r>
          </w:p>
        </w:tc>
        <w:tc>
          <w:tcPr>
            <w:tcW w:w="3173" w:type="dxa"/>
            <w:vAlign w:val="center"/>
          </w:tcPr>
          <w:p w14:paraId="088E3D6D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消融结果</w:t>
            </w:r>
          </w:p>
        </w:tc>
        <w:tc>
          <w:tcPr>
            <w:tcW w:w="3173" w:type="dxa"/>
            <w:vAlign w:val="center"/>
          </w:tcPr>
          <w:p w14:paraId="2A9C0A3A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确认模块贡献</w:t>
            </w:r>
          </w:p>
        </w:tc>
      </w:tr>
    </w:tbl>
    <w:p w14:paraId="13DD42D8"/>
    <w:p w14:paraId="5B64FAF4"/>
    <w:p w14:paraId="7699831E">
      <w:pPr>
        <w:pStyle w:val="3"/>
      </w:pPr>
      <w:r>
        <w:rPr>
          <w:rFonts w:ascii="微软雅黑" w:hAnsi="微软雅黑" w:eastAsia="微软雅黑"/>
          <w:b/>
          <w:sz w:val="28"/>
        </w:rPr>
        <w:t>(10) 拟用图表</w:t>
      </w:r>
    </w:p>
    <w:p w14:paraId="6175A2E0">
      <w:pPr>
        <w:jc w:val="center"/>
      </w:pPr>
      <w:r>
        <w:rPr>
          <w:rFonts w:ascii="微软雅黑" w:hAnsi="微软雅黑" w:eastAsia="微软雅黑"/>
          <w:b/>
          <w:sz w:val="19"/>
        </w:rPr>
        <w:t>表10-8 拟用图表清单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C9E2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5E9FA706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图编号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6B23390D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图名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445A7584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用途</w:t>
            </w:r>
          </w:p>
        </w:tc>
      </w:tr>
      <w:tr w14:paraId="0384F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19B8A6EA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图10-1</w:t>
            </w:r>
          </w:p>
        </w:tc>
        <w:tc>
          <w:tcPr>
            <w:tcW w:w="3173" w:type="dxa"/>
            <w:vAlign w:val="center"/>
          </w:tcPr>
          <w:p w14:paraId="79C370C1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实验验证流程图</w:t>
            </w:r>
          </w:p>
        </w:tc>
        <w:tc>
          <w:tcPr>
            <w:tcW w:w="3173" w:type="dxa"/>
            <w:vAlign w:val="center"/>
          </w:tcPr>
          <w:p w14:paraId="6635F218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整体流程</w:t>
            </w:r>
          </w:p>
        </w:tc>
      </w:tr>
      <w:tr w14:paraId="4CEB1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4BD80C4D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图10-2</w:t>
            </w:r>
          </w:p>
        </w:tc>
        <w:tc>
          <w:tcPr>
            <w:tcW w:w="3173" w:type="dxa"/>
            <w:vAlign w:val="center"/>
          </w:tcPr>
          <w:p w14:paraId="4B222069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对照组设计图</w:t>
            </w:r>
          </w:p>
        </w:tc>
        <w:tc>
          <w:tcPr>
            <w:tcW w:w="3173" w:type="dxa"/>
            <w:vAlign w:val="center"/>
          </w:tcPr>
          <w:p w14:paraId="0A540DC2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baseline 结构</w:t>
            </w:r>
          </w:p>
        </w:tc>
      </w:tr>
      <w:tr w14:paraId="23418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2A54BFD7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图10-3</w:t>
            </w:r>
          </w:p>
        </w:tc>
        <w:tc>
          <w:tcPr>
            <w:tcW w:w="3173" w:type="dxa"/>
            <w:vAlign w:val="center"/>
          </w:tcPr>
          <w:p w14:paraId="391073BB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评价指标图</w:t>
            </w:r>
          </w:p>
        </w:tc>
        <w:tc>
          <w:tcPr>
            <w:tcW w:w="3173" w:type="dxa"/>
            <w:vAlign w:val="center"/>
          </w:tcPr>
          <w:p w14:paraId="5EEB68AB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评价重点</w:t>
            </w:r>
          </w:p>
        </w:tc>
      </w:tr>
      <w:tr w14:paraId="1357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03E4BB0E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图10-4</w:t>
            </w:r>
          </w:p>
        </w:tc>
        <w:tc>
          <w:tcPr>
            <w:tcW w:w="3173" w:type="dxa"/>
            <w:vAlign w:val="center"/>
          </w:tcPr>
          <w:p w14:paraId="3429EBEA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实验进度图</w:t>
            </w:r>
          </w:p>
        </w:tc>
        <w:tc>
          <w:tcPr>
            <w:tcW w:w="3173" w:type="dxa"/>
            <w:vAlign w:val="center"/>
          </w:tcPr>
          <w:p w14:paraId="5F6C9B69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实施顺序</w:t>
            </w:r>
          </w:p>
        </w:tc>
      </w:tr>
      <w:tr w14:paraId="640A7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66472721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图10-5</w:t>
            </w:r>
          </w:p>
        </w:tc>
        <w:tc>
          <w:tcPr>
            <w:tcW w:w="3173" w:type="dxa"/>
            <w:vAlign w:val="center"/>
          </w:tcPr>
          <w:p w14:paraId="6C780F59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安全性假设图</w:t>
            </w:r>
          </w:p>
        </w:tc>
        <w:tc>
          <w:tcPr>
            <w:tcW w:w="3173" w:type="dxa"/>
            <w:vAlign w:val="center"/>
          </w:tcPr>
          <w:p w14:paraId="77AAC923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伦理/安全边界</w:t>
            </w:r>
          </w:p>
        </w:tc>
      </w:tr>
      <w:tr w14:paraId="01C98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173" w:type="dxa"/>
            <w:vAlign w:val="center"/>
          </w:tcPr>
          <w:p w14:paraId="36F72710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图10-6</w:t>
            </w:r>
          </w:p>
        </w:tc>
        <w:tc>
          <w:tcPr>
            <w:tcW w:w="3173" w:type="dxa"/>
            <w:vAlign w:val="center"/>
          </w:tcPr>
          <w:p w14:paraId="07218DBB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性能比较图</w:t>
            </w:r>
          </w:p>
        </w:tc>
        <w:tc>
          <w:tcPr>
            <w:tcW w:w="3173" w:type="dxa"/>
            <w:vAlign w:val="center"/>
          </w:tcPr>
          <w:p w14:paraId="6AD5BCF9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结果可视化予定</w:t>
            </w:r>
          </w:p>
        </w:tc>
      </w:tr>
    </w:tbl>
    <w:p w14:paraId="020C2202"/>
    <w:p w14:paraId="7C3E9AFC">
      <w:pPr>
        <w:pStyle w:val="3"/>
      </w:pPr>
      <w:r>
        <w:rPr>
          <w:rFonts w:ascii="微软雅黑" w:hAnsi="微软雅黑" w:eastAsia="微软雅黑"/>
          <w:b/>
          <w:sz w:val="28"/>
        </w:rPr>
        <w:t>区块链特定指标与安全性假设</w:t>
      </w:r>
    </w:p>
    <w:p w14:paraId="56B8AF24">
      <w:pPr>
        <w:spacing w:after="120" w:line="317" w:lineRule="auto"/>
        <w:ind w:firstLine="425"/>
      </w:pPr>
      <w:r>
        <w:rPr>
          <w:rFonts w:ascii="微软雅黑" w:hAnsi="微软雅黑" w:eastAsia="微软雅黑"/>
          <w:b w:val="0"/>
          <w:sz w:val="21"/>
        </w:rPr>
        <w:t>本实验包含 TPS、latency、gas cost、finality 和 security assumption。TPS 表示吞吐量，latency 包括追踪/预处理/推理/告警延迟，gas cost 用于估计链上验证或预警逻辑的成本，finality 表示交易最终确认时间，security assumption 包括公开链上数据、trace 可获得、标签可信、不使用个人信息、不执行真实攻击。</w:t>
      </w:r>
    </w:p>
    <w:p w14:paraId="161491CC">
      <w:pPr>
        <w:jc w:val="center"/>
      </w:pPr>
      <w:r>
        <w:drawing>
          <wp:inline distT="0" distB="0" distL="114300" distR="114300">
            <wp:extent cx="5486400" cy="2134235"/>
            <wp:effectExtent l="0" t="0" r="0" b="1841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35D1">
      <w:pPr>
        <w:jc w:val="center"/>
      </w:pPr>
      <w:r>
        <w:rPr>
          <w:rFonts w:ascii="微软雅黑" w:hAnsi="微软雅黑" w:eastAsia="微软雅黑"/>
          <w:b/>
          <w:sz w:val="19"/>
        </w:rPr>
        <w:t>图10-5 安全性假设与伦理边界</w:t>
      </w:r>
    </w:p>
    <w:p w14:paraId="044866CB">
      <w:pPr>
        <w:pStyle w:val="3"/>
      </w:pPr>
      <w:r>
        <w:rPr>
          <w:rFonts w:ascii="微软雅黑" w:hAnsi="微软雅黑" w:eastAsia="微软雅黑"/>
          <w:b/>
          <w:sz w:val="28"/>
        </w:rPr>
        <w:t>预期结果与局限</w:t>
      </w:r>
    </w:p>
    <w:p w14:paraId="6C79B1BE">
      <w:pPr>
        <w:spacing w:after="120" w:line="317" w:lineRule="auto"/>
        <w:ind w:firstLine="425"/>
      </w:pPr>
      <w:r>
        <w:rPr>
          <w:rFonts w:ascii="微软雅黑" w:hAnsi="微软雅黑" w:eastAsia="微软雅黑"/>
          <w:b w:val="0"/>
          <w:sz w:val="21"/>
        </w:rPr>
        <w:t>预期 AIB2PSec 在检测性能和相似项目预警方面优于现有方法。但由于包含图构建、自然语言描述生成和大模型推理，latency 与计算资源可能增加，标签质量和 trace 完整性也可能影响结果。</w:t>
      </w:r>
    </w:p>
    <w:p w14:paraId="4E828520">
      <w:pPr>
        <w:pStyle w:val="3"/>
        <w:jc w:val="center"/>
      </w:pPr>
      <w:r>
        <w:rPr>
          <w:rFonts w:ascii="微软雅黑" w:hAnsi="微软雅黑" w:eastAsia="微软雅黑"/>
          <w:b/>
          <w:sz w:val="28"/>
        </w:rPr>
        <w:t>参考文献</w:t>
      </w:r>
    </w:p>
    <w:p w14:paraId="13DBAD41">
      <w:pPr>
        <w:spacing w:after="120" w:line="317" w:lineRule="auto"/>
      </w:pPr>
      <w:r>
        <w:rPr>
          <w:rFonts w:ascii="微软雅黑" w:hAnsi="微软雅黑" w:eastAsia="微软雅黑"/>
          <w:b w:val="0"/>
          <w:sz w:val="18"/>
        </w:rPr>
        <w:t>[1] Ndiaye M., Diallo T. A., Konate K. Adefguard: Anomaly detection framework based on Ethereum smart contracts behaviours. Blockchain: Research and Applications, 2023.</w:t>
      </w:r>
    </w:p>
    <w:p w14:paraId="1FF31885">
      <w:pPr>
        <w:spacing w:after="120" w:line="317" w:lineRule="auto"/>
      </w:pPr>
      <w:r>
        <w:rPr>
          <w:rFonts w:ascii="微软雅黑" w:hAnsi="微软雅黑" w:eastAsia="微软雅黑"/>
          <w:b w:val="0"/>
          <w:sz w:val="18"/>
        </w:rPr>
        <w:t>[2] Hu T. et al. Transaction-based classification and detection approach for Ethereum smart contract. Information Processing &amp; Management, 2021.</w:t>
      </w:r>
    </w:p>
    <w:p w14:paraId="1661A23B">
      <w:pPr>
        <w:spacing w:after="120" w:line="317" w:lineRule="auto"/>
      </w:pPr>
      <w:r>
        <w:rPr>
          <w:rFonts w:ascii="微软雅黑" w:hAnsi="微软雅黑" w:eastAsia="微软雅黑"/>
          <w:b w:val="0"/>
          <w:sz w:val="18"/>
        </w:rPr>
        <w:t>[3] Song A., Seo E., Kim H. Anomaly VAE-Transformer: A deep learning approach for anomaly detection in decentralized finance. IEEE Access, 2023.</w:t>
      </w:r>
    </w:p>
    <w:p w14:paraId="187C27BC">
      <w:pPr>
        <w:spacing w:after="120" w:line="317" w:lineRule="auto"/>
      </w:pPr>
      <w:r>
        <w:rPr>
          <w:rFonts w:ascii="微软雅黑" w:hAnsi="微软雅黑" w:eastAsia="微软雅黑"/>
          <w:b w:val="0"/>
          <w:sz w:val="18"/>
        </w:rPr>
        <w:t>[4] Liu Z. et al. Combining graph neural networks with expert knowledge for smart contract vulnerability detection. IEEE TKDE, 2021.</w:t>
      </w:r>
    </w:p>
    <w:p w14:paraId="5CB72BF8">
      <w:pPr>
        <w:spacing w:after="120" w:line="317" w:lineRule="auto"/>
      </w:pPr>
      <w:r>
        <w:rPr>
          <w:rFonts w:ascii="微软雅黑" w:hAnsi="微软雅黑" w:eastAsia="微软雅黑"/>
          <w:b w:val="0"/>
          <w:sz w:val="18"/>
        </w:rPr>
        <w:t>[5] Luo F. et al. SCVHunter: Smart contract vulnerability detection based on heterogeneous graph attention network. ICSE, 2024.</w:t>
      </w:r>
    </w:p>
    <w:p w14:paraId="50D401D7">
      <w:pPr>
        <w:spacing w:after="120" w:line="317" w:lineRule="auto"/>
      </w:pPr>
      <w:r>
        <w:rPr>
          <w:rFonts w:ascii="微软雅黑" w:hAnsi="微软雅黑" w:eastAsia="微软雅黑"/>
          <w:b w:val="0"/>
          <w:sz w:val="18"/>
        </w:rPr>
        <w:t>[6] Duan L. et al. A new smart contract anomaly detection method by fusing opcode and source code features for blockchain services. IEEE TNSM, 2023.</w:t>
      </w:r>
    </w:p>
    <w:p w14:paraId="2895E2E3">
      <w:pPr>
        <w:spacing w:after="120" w:line="317" w:lineRule="auto"/>
      </w:pPr>
      <w:r>
        <w:rPr>
          <w:rFonts w:ascii="微软雅黑" w:hAnsi="微软雅黑" w:eastAsia="微软雅黑"/>
          <w:b w:val="0"/>
          <w:sz w:val="18"/>
        </w:rPr>
        <w:t>[7] Liang R. et al. Vulseye: Detect smart contract vulnerabilities via stateful directed graybox fuzzing. IEEE TIFS, 2025.</w:t>
      </w:r>
    </w:p>
    <w:p w14:paraId="0EC56D58">
      <w:pPr>
        <w:spacing w:after="120" w:line="317" w:lineRule="auto"/>
        <w:rPr>
          <w:rFonts w:ascii="Malgun Gothic" w:hAnsi="Malgun Gothic" w:eastAsia="Malgun Gothic"/>
          <w:b w:val="0"/>
          <w:sz w:val="18"/>
        </w:rPr>
      </w:pPr>
    </w:p>
    <w:sectPr>
      <w:pgSz w:w="12240" w:h="15840"/>
      <w:pgMar w:top="1304" w:right="1361" w:bottom="130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3073B"/>
    <w:rsid w:val="0F667D43"/>
    <w:rsid w:val="12837EF9"/>
    <w:rsid w:val="2338088B"/>
    <w:rsid w:val="36C83C74"/>
    <w:rsid w:val="391D7C02"/>
    <w:rsid w:val="39B04646"/>
    <w:rsid w:val="4AEE78FE"/>
    <w:rsid w:val="51C71BE5"/>
    <w:rsid w:val="557E3F74"/>
    <w:rsid w:val="58226E39"/>
    <w:rsid w:val="63B868A3"/>
    <w:rsid w:val="6D1A412B"/>
    <w:rsid w:val="7D83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algun Gothic" w:hAnsi="Malgun Gothic" w:eastAsia="Malgun Gothi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1388</Words>
  <Characters>2279</Characters>
  <Lines>0</Lines>
  <Paragraphs>0</Paragraphs>
  <TotalTime>14</TotalTime>
  <ScaleCrop>false</ScaleCrop>
  <LinksUpToDate>false</LinksUpToDate>
  <CharactersWithSpaces>2707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陈曦</cp:lastModifiedBy>
  <dcterms:modified xsi:type="dcterms:W3CDTF">2026-05-14T08:46:33Z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eyJoZGlkIjoiNDZmMzZlMjEyZTM2ZjBmYmZiZjZiYTIwNzgxZWIyNjIiLCJ1c2VySWQiOiIxNzI3NjkwNDI5In0=</vt:lpwstr>
  </property>
  <property fmtid="{D5CDD505-2E9C-101B-9397-08002B2CF9AE}" pid="3" name="KSOProductBuildVer">
    <vt:lpwstr>2052-12.1.0.21541</vt:lpwstr>
  </property>
  <property fmtid="{D5CDD505-2E9C-101B-9397-08002B2CF9AE}" pid="4" name="ICV">
    <vt:lpwstr>997B054A8BE045E2BF2C1077E10F38AD_12</vt:lpwstr>
  </property>
</Properties>
</file>